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87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266"/>
      </w:tblGrid>
      <w:tr w:rsidR="00B301C1" w:rsidRPr="008F26FE" w:rsidTr="00930F29">
        <w:trPr>
          <w:trHeight w:val="416"/>
        </w:trPr>
        <w:tc>
          <w:tcPr>
            <w:tcW w:w="2660" w:type="dxa"/>
            <w:vAlign w:val="center"/>
          </w:tcPr>
          <w:p w:rsidR="00B301C1" w:rsidRPr="008F26FE" w:rsidRDefault="00B301C1" w:rsidP="00701221">
            <w:pPr>
              <w:spacing w:after="0" w:line="240" w:lineRule="auto"/>
              <w:rPr>
                <w:b/>
              </w:rPr>
            </w:pPr>
            <w:bookmarkStart w:id="0" w:name="_Hlk63946589"/>
            <w:bookmarkStart w:id="1" w:name="_Hlk63940311"/>
            <w:r w:rsidRPr="008F26FE">
              <w:rPr>
                <w:b/>
              </w:rPr>
              <w:t>DEPARTAMENTO</w:t>
            </w:r>
          </w:p>
        </w:tc>
        <w:tc>
          <w:tcPr>
            <w:tcW w:w="6266" w:type="dxa"/>
            <w:vAlign w:val="center"/>
          </w:tcPr>
          <w:p w:rsidR="00B301C1" w:rsidRPr="00DC7962" w:rsidRDefault="00B301C1" w:rsidP="00701221">
            <w:pPr>
              <w:spacing w:after="0" w:line="240" w:lineRule="auto"/>
              <w:rPr>
                <w:b/>
              </w:rPr>
            </w:pPr>
            <w:r>
              <w:rPr>
                <w:b/>
              </w:rPr>
              <w:t>Materias de Formación General y Pedagógicas</w:t>
            </w:r>
          </w:p>
        </w:tc>
      </w:tr>
      <w:tr w:rsidR="00B301C1" w:rsidRPr="008F26FE" w:rsidTr="00930F29">
        <w:trPr>
          <w:trHeight w:val="422"/>
        </w:trPr>
        <w:tc>
          <w:tcPr>
            <w:tcW w:w="2660" w:type="dxa"/>
            <w:vAlign w:val="center"/>
          </w:tcPr>
          <w:p w:rsidR="00B301C1" w:rsidRPr="008F26FE" w:rsidRDefault="00B301C1" w:rsidP="00701221">
            <w:pPr>
              <w:spacing w:after="0" w:line="240" w:lineRule="auto"/>
            </w:pPr>
            <w:r w:rsidRPr="008F26FE">
              <w:t>Coordinador a/c</w:t>
            </w:r>
          </w:p>
        </w:tc>
        <w:tc>
          <w:tcPr>
            <w:tcW w:w="6266" w:type="dxa"/>
            <w:vAlign w:val="center"/>
          </w:tcPr>
          <w:p w:rsidR="00B301C1" w:rsidRPr="008F26FE" w:rsidRDefault="00B301C1" w:rsidP="00701221">
            <w:pPr>
              <w:spacing w:after="0" w:line="240" w:lineRule="auto"/>
            </w:pPr>
            <w:r>
              <w:t>Prof. Lic. Clara Stegmann</w:t>
            </w:r>
          </w:p>
        </w:tc>
      </w:tr>
      <w:tr w:rsidR="00B301C1" w:rsidRPr="008F26FE" w:rsidTr="00930F29">
        <w:trPr>
          <w:trHeight w:val="414"/>
        </w:trPr>
        <w:tc>
          <w:tcPr>
            <w:tcW w:w="2660" w:type="dxa"/>
            <w:vAlign w:val="center"/>
          </w:tcPr>
          <w:p w:rsidR="00B301C1" w:rsidRPr="008F26FE" w:rsidRDefault="00B301C1" w:rsidP="00701221">
            <w:pPr>
              <w:spacing w:after="0" w:line="240" w:lineRule="auto"/>
            </w:pPr>
            <w:r w:rsidRPr="008F26FE">
              <w:t>MATERIA/ASIGNATURA</w:t>
            </w:r>
          </w:p>
        </w:tc>
        <w:tc>
          <w:tcPr>
            <w:tcW w:w="6266" w:type="dxa"/>
            <w:vAlign w:val="center"/>
          </w:tcPr>
          <w:p w:rsidR="00B301C1" w:rsidRPr="00930F29" w:rsidRDefault="00B301C1" w:rsidP="00701221">
            <w:pPr>
              <w:spacing w:after="0" w:line="240" w:lineRule="auto"/>
              <w:rPr>
                <w:rFonts w:asciiTheme="minorHAnsi" w:hAnsiTheme="minorHAnsi" w:cstheme="minorHAnsi"/>
                <w:b/>
                <w:bCs/>
                <w:i/>
                <w:iCs/>
                <w:color w:val="000000"/>
                <w:sz w:val="24"/>
              </w:rPr>
            </w:pPr>
            <w:r w:rsidRPr="00930F29">
              <w:rPr>
                <w:rFonts w:asciiTheme="minorHAnsi" w:hAnsiTheme="minorHAnsi" w:cstheme="minorHAnsi"/>
                <w:b/>
                <w:bCs/>
                <w:color w:val="000000"/>
                <w:sz w:val="24"/>
                <w:u w:val="single"/>
              </w:rPr>
              <w:t>TALLER</w:t>
            </w:r>
            <w:r w:rsidRPr="00930F29">
              <w:rPr>
                <w:rFonts w:asciiTheme="minorHAnsi" w:hAnsiTheme="minorHAnsi" w:cstheme="minorHAnsi"/>
                <w:b/>
                <w:bCs/>
                <w:color w:val="000000"/>
                <w:sz w:val="24"/>
              </w:rPr>
              <w:t xml:space="preserve">: </w:t>
            </w:r>
            <w:r w:rsidRPr="00930F29">
              <w:rPr>
                <w:rFonts w:asciiTheme="minorHAnsi" w:hAnsiTheme="minorHAnsi" w:cstheme="minorHAnsi"/>
                <w:b/>
                <w:bCs/>
                <w:i/>
                <w:iCs/>
                <w:color w:val="000000"/>
                <w:sz w:val="24"/>
              </w:rPr>
              <w:t>Las instituciones educativas como objeto de estudio</w:t>
            </w:r>
          </w:p>
          <w:p w:rsidR="00B301C1" w:rsidRPr="00C4348B" w:rsidRDefault="00B301C1" w:rsidP="00701221">
            <w:pPr>
              <w:spacing w:after="0" w:line="240" w:lineRule="auto"/>
              <w:rPr>
                <w:b/>
              </w:rPr>
            </w:pPr>
            <w:r w:rsidRPr="00930F29">
              <w:rPr>
                <w:rFonts w:asciiTheme="minorHAnsi" w:hAnsiTheme="minorHAnsi" w:cstheme="minorHAnsi"/>
                <w:b/>
                <w:bCs/>
                <w:color w:val="000000"/>
                <w:sz w:val="24"/>
                <w:u w:val="single"/>
              </w:rPr>
              <w:t>TALLER</w:t>
            </w:r>
            <w:r w:rsidRPr="00930F29">
              <w:rPr>
                <w:rFonts w:asciiTheme="minorHAnsi" w:hAnsiTheme="minorHAnsi" w:cstheme="minorHAnsi"/>
                <w:b/>
                <w:bCs/>
                <w:color w:val="000000"/>
                <w:sz w:val="24"/>
              </w:rPr>
              <w:t xml:space="preserve">: </w:t>
            </w:r>
            <w:r w:rsidRPr="00930F29">
              <w:rPr>
                <w:rFonts w:asciiTheme="minorHAnsi" w:hAnsiTheme="minorHAnsi" w:cstheme="minorHAnsi"/>
                <w:b/>
                <w:bCs/>
                <w:i/>
                <w:iCs/>
                <w:color w:val="000000"/>
                <w:sz w:val="24"/>
              </w:rPr>
              <w:t>El rol y el trabajo docente</w:t>
            </w:r>
          </w:p>
        </w:tc>
      </w:tr>
      <w:tr w:rsidR="00B301C1" w:rsidRPr="008F26FE" w:rsidTr="00930F29">
        <w:trPr>
          <w:trHeight w:val="420"/>
        </w:trPr>
        <w:tc>
          <w:tcPr>
            <w:tcW w:w="2660" w:type="dxa"/>
            <w:vAlign w:val="center"/>
          </w:tcPr>
          <w:p w:rsidR="00B301C1" w:rsidRPr="008F26FE" w:rsidRDefault="00B301C1" w:rsidP="00701221">
            <w:pPr>
              <w:spacing w:after="0" w:line="240" w:lineRule="auto"/>
            </w:pPr>
            <w:r w:rsidRPr="008F26FE">
              <w:t>Ciclo o Nivel</w:t>
            </w:r>
            <w:r>
              <w:t xml:space="preserve"> / Plan</w:t>
            </w:r>
          </w:p>
        </w:tc>
        <w:tc>
          <w:tcPr>
            <w:tcW w:w="6266" w:type="dxa"/>
            <w:vAlign w:val="center"/>
          </w:tcPr>
          <w:p w:rsidR="00B301C1" w:rsidRPr="008F26FE" w:rsidRDefault="00930F29" w:rsidP="00701221">
            <w:pPr>
              <w:spacing w:after="0" w:line="240" w:lineRule="auto"/>
            </w:pPr>
            <w:r>
              <w:rPr>
                <w:rFonts w:cs="Calibri"/>
                <w:color w:val="000000"/>
              </w:rPr>
              <w:t xml:space="preserve">Nivel Superior - </w:t>
            </w:r>
            <w:r w:rsidR="00B301C1" w:rsidRPr="00555222">
              <w:rPr>
                <w:rFonts w:cs="Calibri"/>
                <w:color w:val="000000"/>
              </w:rPr>
              <w:t>Profesorados Res MEGCBA 4115 / 2014</w:t>
            </w:r>
            <w:r w:rsidR="00B301C1">
              <w:rPr>
                <w:rFonts w:cs="Calibri"/>
                <w:color w:val="000000"/>
              </w:rPr>
              <w:t>.</w:t>
            </w:r>
          </w:p>
        </w:tc>
      </w:tr>
      <w:tr w:rsidR="00B301C1" w:rsidRPr="008F26FE" w:rsidTr="00930F29">
        <w:trPr>
          <w:trHeight w:val="621"/>
        </w:trPr>
        <w:tc>
          <w:tcPr>
            <w:tcW w:w="2660" w:type="dxa"/>
            <w:vAlign w:val="center"/>
          </w:tcPr>
          <w:p w:rsidR="00B301C1" w:rsidRPr="008F26FE" w:rsidRDefault="00B301C1" w:rsidP="00701221">
            <w:pPr>
              <w:spacing w:after="0" w:line="240" w:lineRule="auto"/>
            </w:pPr>
            <w:r w:rsidRPr="008F26FE">
              <w:t>Perfil docente</w:t>
            </w:r>
          </w:p>
        </w:tc>
        <w:tc>
          <w:tcPr>
            <w:tcW w:w="6266" w:type="dxa"/>
            <w:vAlign w:val="center"/>
          </w:tcPr>
          <w:p w:rsidR="00B301C1" w:rsidRDefault="00B301C1" w:rsidP="00B301C1">
            <w:pPr>
              <w:spacing w:after="0" w:line="240" w:lineRule="auto"/>
            </w:pPr>
            <w:r>
              <w:t>T</w:t>
            </w:r>
            <w:r w:rsidR="00B721A4">
              <w:t>ítulo Docente de Música</w:t>
            </w:r>
            <w:r>
              <w:t xml:space="preserve"> con</w:t>
            </w:r>
            <w:r w:rsidR="00270A8B">
              <w:t xml:space="preserve"> </w:t>
            </w:r>
            <w:r>
              <w:t>habilitación para el Nivel Superior.</w:t>
            </w:r>
          </w:p>
          <w:p w:rsidR="00B301C1" w:rsidRPr="008F26FE" w:rsidRDefault="00B301C1" w:rsidP="00B301C1">
            <w:pPr>
              <w:spacing w:after="0" w:line="240" w:lineRule="auto"/>
            </w:pPr>
            <w:r>
              <w:t>Antecedentes relevantes docentes y artísticos.</w:t>
            </w:r>
          </w:p>
        </w:tc>
      </w:tr>
      <w:tr w:rsidR="00B301C1" w:rsidRPr="008F26FE" w:rsidTr="00930F29">
        <w:trPr>
          <w:trHeight w:val="632"/>
        </w:trPr>
        <w:tc>
          <w:tcPr>
            <w:tcW w:w="2660" w:type="dxa"/>
            <w:vAlign w:val="center"/>
          </w:tcPr>
          <w:p w:rsidR="00B301C1" w:rsidRPr="008F26FE" w:rsidRDefault="00B301C1" w:rsidP="00701221">
            <w:pPr>
              <w:spacing w:after="0" w:line="240" w:lineRule="auto"/>
            </w:pPr>
            <w:r w:rsidRPr="008F26FE">
              <w:t>Cantidad de antecedentes</w:t>
            </w:r>
            <w:r>
              <w:t xml:space="preserve"> máximos</w:t>
            </w:r>
          </w:p>
        </w:tc>
        <w:tc>
          <w:tcPr>
            <w:tcW w:w="6266" w:type="dxa"/>
            <w:vAlign w:val="center"/>
          </w:tcPr>
          <w:p w:rsidR="00B301C1" w:rsidRPr="008F26FE" w:rsidRDefault="00B301C1" w:rsidP="00701221">
            <w:pPr>
              <w:spacing w:after="0" w:line="240" w:lineRule="auto"/>
            </w:pPr>
            <w:r>
              <w:t>15 (quince) antecedentes acordes al objeto de búsqueda según Grilla adjuntada.</w:t>
            </w:r>
          </w:p>
        </w:tc>
      </w:tr>
      <w:tr w:rsidR="00B301C1" w:rsidRPr="008F26FE" w:rsidTr="00930F29">
        <w:trPr>
          <w:trHeight w:val="899"/>
        </w:trPr>
        <w:tc>
          <w:tcPr>
            <w:tcW w:w="2660" w:type="dxa"/>
            <w:vAlign w:val="center"/>
          </w:tcPr>
          <w:p w:rsidR="00B301C1" w:rsidRPr="008F26FE" w:rsidRDefault="00B301C1" w:rsidP="00701221">
            <w:pPr>
              <w:spacing w:after="0" w:line="240" w:lineRule="auto"/>
            </w:pPr>
            <w:r w:rsidRPr="008F26FE">
              <w:t>Proyecto Pedagógico</w:t>
            </w:r>
          </w:p>
        </w:tc>
        <w:tc>
          <w:tcPr>
            <w:tcW w:w="6266" w:type="dxa"/>
            <w:vAlign w:val="center"/>
          </w:tcPr>
          <w:p w:rsidR="00B301C1" w:rsidRPr="00016EBC" w:rsidRDefault="00B301C1" w:rsidP="00701221">
            <w:pPr>
              <w:spacing w:after="0" w:line="240" w:lineRule="auto"/>
            </w:pPr>
            <w:r w:rsidRPr="00016EBC">
              <w:t>Se requiere proyecto pedagógico original acorde a los objetivos generales y contenidos mínimos de</w:t>
            </w:r>
            <w:r>
              <w:t xml:space="preserve"> los planes de Estudio vigentes </w:t>
            </w:r>
            <w:r w:rsidRPr="00016EBC">
              <w:rPr>
                <w:b/>
              </w:rPr>
              <w:t>(*)</w:t>
            </w:r>
            <w:r>
              <w:rPr>
                <w:b/>
              </w:rPr>
              <w:t xml:space="preserve">. </w:t>
            </w:r>
            <w:r w:rsidRPr="00254AE4">
              <w:t>Puntuación máxima: 20 (veinte) puntos.</w:t>
            </w:r>
          </w:p>
        </w:tc>
      </w:tr>
      <w:tr w:rsidR="00B301C1" w:rsidRPr="008F26FE" w:rsidTr="00930F29">
        <w:trPr>
          <w:trHeight w:val="1691"/>
        </w:trPr>
        <w:tc>
          <w:tcPr>
            <w:tcW w:w="2660" w:type="dxa"/>
            <w:vAlign w:val="center"/>
          </w:tcPr>
          <w:p w:rsidR="00B301C1" w:rsidRPr="008F26FE" w:rsidRDefault="00B301C1" w:rsidP="00930F29">
            <w:pPr>
              <w:spacing w:after="0" w:line="240" w:lineRule="auto"/>
            </w:pPr>
            <w:r w:rsidRPr="008F26FE">
              <w:t>Modalidad de coloquio</w:t>
            </w:r>
            <w:r>
              <w:t xml:space="preserve"> </w:t>
            </w:r>
          </w:p>
        </w:tc>
        <w:tc>
          <w:tcPr>
            <w:tcW w:w="6266" w:type="dxa"/>
            <w:vAlign w:val="center"/>
          </w:tcPr>
          <w:p w:rsidR="00B301C1" w:rsidRDefault="00B301C1" w:rsidP="00701221">
            <w:pPr>
              <w:spacing w:after="0" w:line="240" w:lineRule="auto"/>
            </w:pPr>
            <w:r>
              <w:t>La modalidad del coloquio podrá ser presencial o virtual de acuerdo a la situación sanitaria del momento. Se informará oportunamente por mail a cada postulante.</w:t>
            </w:r>
          </w:p>
          <w:p w:rsidR="00B301C1" w:rsidRDefault="00B301C1" w:rsidP="00701221">
            <w:pPr>
              <w:spacing w:after="0" w:line="240" w:lineRule="auto"/>
            </w:pPr>
            <w:r>
              <w:t>El coloquio puede incluir la defensa del proyecto, entrevista, clase y ensayo, depen</w:t>
            </w:r>
            <w:bookmarkStart w:id="2" w:name="_GoBack"/>
            <w:bookmarkEnd w:id="2"/>
            <w:r>
              <w:t>diendo la modalidad.</w:t>
            </w:r>
          </w:p>
          <w:p w:rsidR="00B301C1" w:rsidRPr="008F26FE" w:rsidRDefault="00B301C1" w:rsidP="00701221">
            <w:pPr>
              <w:spacing w:after="0" w:line="240" w:lineRule="auto"/>
            </w:pPr>
            <w:r w:rsidRPr="00A01B07">
              <w:t xml:space="preserve">Puntuación </w:t>
            </w:r>
            <w:r w:rsidRPr="00254AE4">
              <w:t>máxima</w:t>
            </w:r>
            <w:r>
              <w:t>:</w:t>
            </w:r>
            <w:r w:rsidRPr="00254AE4">
              <w:t xml:space="preserve"> 50 (cincuenta)</w:t>
            </w:r>
            <w:r w:rsidRPr="00A01B07">
              <w:t xml:space="preserve"> puntos</w:t>
            </w:r>
            <w:r>
              <w:t>.</w:t>
            </w:r>
          </w:p>
        </w:tc>
      </w:tr>
      <w:tr w:rsidR="00B301C1" w:rsidRPr="00F167EF" w:rsidTr="00930F29">
        <w:trPr>
          <w:trHeight w:val="920"/>
        </w:trPr>
        <w:tc>
          <w:tcPr>
            <w:tcW w:w="2660" w:type="dxa"/>
            <w:vAlign w:val="center"/>
          </w:tcPr>
          <w:p w:rsidR="00B301C1" w:rsidRPr="008F26FE" w:rsidRDefault="00B301C1" w:rsidP="00701221">
            <w:pPr>
              <w:spacing w:after="0" w:line="240" w:lineRule="auto"/>
            </w:pPr>
            <w:r w:rsidRPr="008F26FE">
              <w:t>Comisión Evaluadora</w:t>
            </w:r>
          </w:p>
        </w:tc>
        <w:tc>
          <w:tcPr>
            <w:tcW w:w="6266" w:type="dxa"/>
            <w:vAlign w:val="center"/>
          </w:tcPr>
          <w:p w:rsidR="00B301C1" w:rsidRPr="00B301C1" w:rsidRDefault="00B301C1" w:rsidP="00701221">
            <w:pPr>
              <w:spacing w:after="0" w:line="240" w:lineRule="auto"/>
              <w:rPr>
                <w:lang w:val="en-US"/>
              </w:rPr>
            </w:pPr>
            <w:r w:rsidRPr="00F1425F">
              <w:rPr>
                <w:lang w:val="en-US"/>
              </w:rPr>
              <w:t xml:space="preserve">Prof. </w:t>
            </w:r>
            <w:proofErr w:type="spellStart"/>
            <w:r w:rsidRPr="00F1425F">
              <w:rPr>
                <w:lang w:val="en-US"/>
              </w:rPr>
              <w:t>Lic</w:t>
            </w:r>
            <w:proofErr w:type="spellEnd"/>
            <w:r w:rsidRPr="00F1425F">
              <w:rPr>
                <w:lang w:val="en-US"/>
              </w:rPr>
              <w:t xml:space="preserve">. </w:t>
            </w:r>
            <w:r w:rsidRPr="00B301C1">
              <w:rPr>
                <w:lang w:val="en-US"/>
              </w:rPr>
              <w:t>Martín Tello</w:t>
            </w:r>
          </w:p>
          <w:p w:rsidR="00B301C1" w:rsidRPr="004312E0" w:rsidRDefault="00B301C1" w:rsidP="00701221">
            <w:pPr>
              <w:spacing w:after="0" w:line="240" w:lineRule="auto"/>
              <w:rPr>
                <w:lang w:val="es-ES"/>
              </w:rPr>
            </w:pPr>
            <w:r w:rsidRPr="00B301C1">
              <w:rPr>
                <w:lang w:val="en-US"/>
              </w:rPr>
              <w:t xml:space="preserve">Prof. </w:t>
            </w:r>
            <w:proofErr w:type="spellStart"/>
            <w:r w:rsidRPr="00B301C1">
              <w:rPr>
                <w:lang w:val="en-US"/>
              </w:rPr>
              <w:t>Lic</w:t>
            </w:r>
            <w:proofErr w:type="spellEnd"/>
            <w:r w:rsidRPr="00B301C1">
              <w:rPr>
                <w:lang w:val="en-US"/>
              </w:rPr>
              <w:t xml:space="preserve">. </w:t>
            </w:r>
            <w:r w:rsidRPr="004312E0">
              <w:rPr>
                <w:lang w:val="es-ES"/>
              </w:rPr>
              <w:t>Gabriela R</w:t>
            </w:r>
            <w:r>
              <w:rPr>
                <w:lang w:val="es-ES"/>
              </w:rPr>
              <w:t xml:space="preserve">amos (CSMAP/ UCES, </w:t>
            </w:r>
            <w:proofErr w:type="spellStart"/>
            <w:r>
              <w:rPr>
                <w:lang w:val="es-ES"/>
              </w:rPr>
              <w:t>UNLujan</w:t>
            </w:r>
            <w:proofErr w:type="spellEnd"/>
            <w:r>
              <w:rPr>
                <w:lang w:val="es-ES"/>
              </w:rPr>
              <w:t>/ UAI)</w:t>
            </w:r>
          </w:p>
          <w:p w:rsidR="00B301C1" w:rsidRPr="00F167EF" w:rsidRDefault="00B301C1" w:rsidP="00701221">
            <w:pPr>
              <w:spacing w:after="0" w:line="240" w:lineRule="auto"/>
              <w:rPr>
                <w:lang w:val="es-ES"/>
              </w:rPr>
            </w:pPr>
            <w:r w:rsidRPr="00F167EF">
              <w:rPr>
                <w:lang w:val="es-ES"/>
              </w:rPr>
              <w:t xml:space="preserve">Prof. </w:t>
            </w:r>
            <w:r>
              <w:rPr>
                <w:lang w:val="es-ES"/>
              </w:rPr>
              <w:t xml:space="preserve"> Lic. Raquel Viviana </w:t>
            </w:r>
            <w:proofErr w:type="spellStart"/>
            <w:r>
              <w:rPr>
                <w:lang w:val="es-ES"/>
              </w:rPr>
              <w:t>Ciabocco</w:t>
            </w:r>
            <w:proofErr w:type="spellEnd"/>
            <w:r>
              <w:rPr>
                <w:lang w:val="es-ES"/>
              </w:rPr>
              <w:t xml:space="preserve"> (</w:t>
            </w:r>
            <w:proofErr w:type="spellStart"/>
            <w:r>
              <w:rPr>
                <w:lang w:val="es-ES"/>
              </w:rPr>
              <w:t>UNaM</w:t>
            </w:r>
            <w:proofErr w:type="spellEnd"/>
            <w:r>
              <w:rPr>
                <w:lang w:val="es-ES"/>
              </w:rPr>
              <w:t>)</w:t>
            </w:r>
          </w:p>
        </w:tc>
      </w:tr>
      <w:tr w:rsidR="00B301C1" w:rsidRPr="008F26FE" w:rsidTr="00930F29">
        <w:trPr>
          <w:trHeight w:val="1687"/>
        </w:trPr>
        <w:tc>
          <w:tcPr>
            <w:tcW w:w="2660" w:type="dxa"/>
            <w:vAlign w:val="center"/>
          </w:tcPr>
          <w:p w:rsidR="00B301C1" w:rsidRPr="008F26FE" w:rsidRDefault="00B301C1" w:rsidP="00701221">
            <w:pPr>
              <w:spacing w:after="0" w:line="240" w:lineRule="auto"/>
            </w:pPr>
            <w:r w:rsidRPr="008F26FE">
              <w:t>Presentación de Carpetas</w:t>
            </w:r>
          </w:p>
        </w:tc>
        <w:tc>
          <w:tcPr>
            <w:tcW w:w="6266" w:type="dxa"/>
            <w:vAlign w:val="center"/>
          </w:tcPr>
          <w:p w:rsidR="00B301C1" w:rsidRPr="00254AE4" w:rsidRDefault="00B301C1" w:rsidP="00701221">
            <w:pPr>
              <w:spacing w:after="0" w:line="240" w:lineRule="auto"/>
              <w:rPr>
                <w:b/>
              </w:rPr>
            </w:pPr>
            <w:r w:rsidRPr="0014099A">
              <w:rPr>
                <w:b/>
              </w:rPr>
              <w:t>Fechas:</w:t>
            </w:r>
            <w:r w:rsidRPr="00254AE4">
              <w:rPr>
                <w:b/>
              </w:rPr>
              <w:t xml:space="preserve"> </w:t>
            </w:r>
            <w:r w:rsidR="00145D6E">
              <w:rPr>
                <w:b/>
              </w:rPr>
              <w:t>del 01/03/21 al 12</w:t>
            </w:r>
            <w:r w:rsidR="0014099A">
              <w:rPr>
                <w:b/>
              </w:rPr>
              <w:t>/03/21 a las 18 hs</w:t>
            </w:r>
          </w:p>
          <w:p w:rsidR="00B301C1" w:rsidRDefault="00B301C1" w:rsidP="00701221">
            <w:pPr>
              <w:spacing w:after="0" w:line="240" w:lineRule="auto"/>
            </w:pPr>
            <w:r>
              <w:t>De acuerdo al Instructivo general, el envío de toda la documentación en formato digital debe ser a</w:t>
            </w:r>
            <w:r w:rsidRPr="00A01B07">
              <w:t xml:space="preserve">l siguiente mail: </w:t>
            </w:r>
          </w:p>
          <w:p w:rsidR="00B301C1" w:rsidRPr="009756BE" w:rsidRDefault="00EF5D1C" w:rsidP="00701221">
            <w:pPr>
              <w:spacing w:after="0" w:line="240" w:lineRule="auto"/>
              <w:rPr>
                <w:lang w:val="es-ES"/>
              </w:rPr>
            </w:pPr>
            <w:hyperlink r:id="rId7" w:history="1">
              <w:r w:rsidR="00B301C1" w:rsidRPr="00A042E6">
                <w:rPr>
                  <w:rStyle w:val="Hipervnculo"/>
                  <w:lang w:val="es-ES"/>
                </w:rPr>
                <w:t>departamentofgyp@gmail.com</w:t>
              </w:r>
            </w:hyperlink>
            <w:r w:rsidR="00B301C1" w:rsidRPr="009756BE">
              <w:rPr>
                <w:lang w:val="es-ES"/>
              </w:rPr>
              <w:t xml:space="preserve"> </w:t>
            </w:r>
          </w:p>
          <w:p w:rsidR="00B301C1" w:rsidRPr="008F26FE" w:rsidRDefault="00B301C1" w:rsidP="00701221">
            <w:pPr>
              <w:spacing w:after="0" w:line="240" w:lineRule="auto"/>
            </w:pPr>
            <w:r>
              <w:t>Cada postulante recibirá el acuse de recibo de la documentación.</w:t>
            </w:r>
          </w:p>
        </w:tc>
      </w:tr>
      <w:tr w:rsidR="00B301C1" w:rsidRPr="008F26FE" w:rsidTr="00930F29">
        <w:trPr>
          <w:trHeight w:val="349"/>
        </w:trPr>
        <w:tc>
          <w:tcPr>
            <w:tcW w:w="2660" w:type="dxa"/>
            <w:vAlign w:val="center"/>
          </w:tcPr>
          <w:p w:rsidR="00B301C1" w:rsidRPr="008F26FE" w:rsidRDefault="00B301C1" w:rsidP="00701221">
            <w:pPr>
              <w:spacing w:after="0" w:line="240" w:lineRule="auto"/>
            </w:pPr>
            <w:r>
              <w:t>Fecha de Coloquio</w:t>
            </w:r>
          </w:p>
        </w:tc>
        <w:tc>
          <w:tcPr>
            <w:tcW w:w="6266" w:type="dxa"/>
            <w:vAlign w:val="center"/>
          </w:tcPr>
          <w:p w:rsidR="00B301C1" w:rsidRPr="008F26FE" w:rsidRDefault="00B301C1" w:rsidP="00701221">
            <w:pPr>
              <w:spacing w:after="0" w:line="240" w:lineRule="auto"/>
            </w:pPr>
            <w:r>
              <w:t>Será comunicado oportunamente por mail.</w:t>
            </w:r>
          </w:p>
        </w:tc>
      </w:tr>
    </w:tbl>
    <w:p w:rsidR="00E34B23" w:rsidRDefault="00E34B23" w:rsidP="00B301C1">
      <w:pPr>
        <w:jc w:val="center"/>
        <w:rPr>
          <w:u w:val="single"/>
        </w:rPr>
      </w:pPr>
      <w:bookmarkStart w:id="3" w:name="_Hlk64539446"/>
      <w:bookmarkEnd w:id="0"/>
    </w:p>
    <w:p w:rsidR="00B301C1" w:rsidRDefault="00B301C1" w:rsidP="00B301C1">
      <w:pPr>
        <w:jc w:val="center"/>
        <w:rPr>
          <w:u w:val="single"/>
        </w:rPr>
      </w:pPr>
      <w:r w:rsidRPr="008F26FE">
        <w:rPr>
          <w:u w:val="single"/>
        </w:rPr>
        <w:t>FICHA PARA CONVOCATORIAS DOCENTES</w:t>
      </w:r>
    </w:p>
    <w:p w:rsidR="00B301C1" w:rsidRDefault="00B301C1" w:rsidP="00B301C1">
      <w:pPr>
        <w:jc w:val="center"/>
        <w:rPr>
          <w:u w:val="single"/>
        </w:rPr>
      </w:pPr>
    </w:p>
    <w:p w:rsidR="00B301C1" w:rsidRDefault="00B301C1" w:rsidP="00B301C1">
      <w:pPr>
        <w:rPr>
          <w:u w:val="single"/>
        </w:rPr>
      </w:pPr>
    </w:p>
    <w:p w:rsidR="00B301C1" w:rsidRDefault="00B301C1" w:rsidP="00B301C1">
      <w:bookmarkStart w:id="4" w:name="_Hlk64533730"/>
      <w:r w:rsidRPr="00254AE4">
        <w:rPr>
          <w:u w:val="single"/>
        </w:rPr>
        <w:t>Aclaraci</w:t>
      </w:r>
      <w:r>
        <w:rPr>
          <w:u w:val="single"/>
        </w:rPr>
        <w:t>ones</w:t>
      </w:r>
      <w:r>
        <w:t xml:space="preserve">: </w:t>
      </w:r>
    </w:p>
    <w:p w:rsidR="00B301C1" w:rsidRPr="00254AE4" w:rsidRDefault="00B301C1" w:rsidP="00B301C1">
      <w:pPr>
        <w:pStyle w:val="Prrafodelista"/>
        <w:numPr>
          <w:ilvl w:val="0"/>
          <w:numId w:val="1"/>
        </w:numPr>
        <w:ind w:left="284" w:hanging="284"/>
      </w:pPr>
      <w:r>
        <w:t>L</w:t>
      </w:r>
      <w:r w:rsidRPr="00254AE4">
        <w:t xml:space="preserve">as coberturas interinas quedan sujetas a la sustanciación del </w:t>
      </w:r>
      <w:r>
        <w:t>C</w:t>
      </w:r>
      <w:r w:rsidRPr="00254AE4">
        <w:t xml:space="preserve">oncurso por </w:t>
      </w:r>
      <w:r>
        <w:t>D</w:t>
      </w:r>
      <w:r w:rsidRPr="00254AE4">
        <w:t>ecreto 1151/</w:t>
      </w:r>
      <w:r>
        <w:t>GCBA</w:t>
      </w:r>
      <w:r w:rsidRPr="00254AE4">
        <w:t>/2003</w:t>
      </w:r>
    </w:p>
    <w:p w:rsidR="00B301C1" w:rsidRDefault="00B301C1" w:rsidP="00B301C1">
      <w:pPr>
        <w:pStyle w:val="Prrafodelista"/>
        <w:numPr>
          <w:ilvl w:val="0"/>
          <w:numId w:val="1"/>
        </w:numPr>
        <w:spacing w:after="6" w:line="240" w:lineRule="auto"/>
        <w:ind w:left="284" w:hanging="284"/>
        <w:jc w:val="both"/>
      </w:pPr>
      <w:r w:rsidRPr="00163044">
        <w:t xml:space="preserve">El Orden de Mérito alcanzado para cada incumbencia tendrá </w:t>
      </w:r>
      <w:r w:rsidRPr="00D1029E">
        <w:rPr>
          <w:b/>
        </w:rPr>
        <w:t>vigencia y validez máxima de 3 (tres) años</w:t>
      </w:r>
      <w:r>
        <w:t xml:space="preserve"> según lo establece la DI-2018-387-DGEART en su Anexo I.</w:t>
      </w:r>
    </w:p>
    <w:p w:rsidR="00B301C1" w:rsidRDefault="00B301C1" w:rsidP="00B301C1">
      <w:pPr>
        <w:spacing w:after="6" w:line="240" w:lineRule="auto"/>
        <w:jc w:val="both"/>
      </w:pPr>
    </w:p>
    <w:p w:rsidR="00B301C1" w:rsidRDefault="00B301C1" w:rsidP="00B301C1">
      <w:pPr>
        <w:spacing w:after="6" w:line="240" w:lineRule="auto"/>
        <w:jc w:val="both"/>
      </w:pPr>
    </w:p>
    <w:p w:rsidR="00B301C1" w:rsidRDefault="00B301C1" w:rsidP="00B301C1">
      <w:pPr>
        <w:spacing w:after="6" w:line="240" w:lineRule="auto"/>
        <w:jc w:val="both"/>
      </w:pPr>
    </w:p>
    <w:p w:rsidR="00B301C1" w:rsidRPr="00163044" w:rsidRDefault="00B301C1" w:rsidP="00B301C1">
      <w:pPr>
        <w:spacing w:after="6" w:line="240" w:lineRule="auto"/>
        <w:jc w:val="both"/>
      </w:pPr>
    </w:p>
    <w:p w:rsidR="00B301C1" w:rsidRPr="00C62A2F" w:rsidRDefault="00B301C1" w:rsidP="00B301C1">
      <w:pPr>
        <w:spacing w:after="6" w:line="240" w:lineRule="auto"/>
        <w:jc w:val="both"/>
      </w:pPr>
      <w:bookmarkStart w:id="5" w:name="_Hlk64539667"/>
      <w:bookmarkEnd w:id="3"/>
      <w:r w:rsidRPr="00D1029E">
        <w:rPr>
          <w:b/>
        </w:rPr>
        <w:lastRenderedPageBreak/>
        <w:t xml:space="preserve">(*) </w:t>
      </w:r>
      <w:r w:rsidRPr="002F01A0">
        <w:t>Extracto del Plan de Estudios.</w:t>
      </w:r>
    </w:p>
    <w:p w:rsidR="00B301C1" w:rsidRPr="00B301C1" w:rsidRDefault="00B301C1" w:rsidP="00395CAF">
      <w:pPr>
        <w:spacing w:before="249" w:after="0" w:line="240" w:lineRule="auto"/>
        <w:jc w:val="both"/>
        <w:rPr>
          <w:rFonts w:ascii="Times New Roman" w:eastAsia="Times New Roman" w:hAnsi="Times New Roman"/>
          <w:sz w:val="24"/>
          <w:szCs w:val="24"/>
          <w:lang w:val="es-ES"/>
        </w:rPr>
      </w:pPr>
      <w:bookmarkStart w:id="6" w:name="_Hlk64539699"/>
      <w:bookmarkEnd w:id="4"/>
      <w:bookmarkEnd w:id="5"/>
      <w:r w:rsidRPr="00B301C1">
        <w:rPr>
          <w:rFonts w:ascii="Arial" w:eastAsia="Times New Roman" w:hAnsi="Arial" w:cs="Arial"/>
          <w:b/>
          <w:bCs/>
          <w:color w:val="000000"/>
          <w:lang w:val="es-ES"/>
        </w:rPr>
        <w:t xml:space="preserve">a. </w:t>
      </w:r>
      <w:r w:rsidRPr="00B301C1">
        <w:rPr>
          <w:rFonts w:ascii="Arial" w:eastAsia="Times New Roman" w:hAnsi="Arial" w:cs="Arial"/>
          <w:b/>
          <w:bCs/>
          <w:color w:val="000000"/>
          <w:u w:val="single"/>
          <w:lang w:val="es-ES"/>
        </w:rPr>
        <w:t>TALLER</w:t>
      </w:r>
      <w:r w:rsidRPr="00B301C1">
        <w:rPr>
          <w:rFonts w:ascii="Arial" w:eastAsia="Times New Roman" w:hAnsi="Arial" w:cs="Arial"/>
          <w:b/>
          <w:bCs/>
          <w:color w:val="000000"/>
          <w:lang w:val="es-ES"/>
        </w:rPr>
        <w:t xml:space="preserve">: </w:t>
      </w:r>
      <w:r w:rsidRPr="00B301C1">
        <w:rPr>
          <w:rFonts w:ascii="Arial" w:eastAsia="Times New Roman" w:hAnsi="Arial" w:cs="Arial"/>
          <w:b/>
          <w:bCs/>
          <w:i/>
          <w:iCs/>
          <w:color w:val="000000"/>
          <w:lang w:val="es-ES"/>
        </w:rPr>
        <w:t>Las instituciones educativas como objeto de estudio</w:t>
      </w:r>
    </w:p>
    <w:p w:rsidR="00B301C1" w:rsidRPr="00B301C1" w:rsidRDefault="00B301C1" w:rsidP="00395CAF">
      <w:pPr>
        <w:spacing w:after="0" w:line="240" w:lineRule="auto"/>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Objetivos </w:t>
      </w:r>
    </w:p>
    <w:p w:rsidR="00B301C1" w:rsidRDefault="00B301C1" w:rsidP="00395CAF">
      <w:pPr>
        <w:spacing w:before="11" w:after="0" w:line="240" w:lineRule="auto"/>
        <w:ind w:right="494"/>
        <w:jc w:val="both"/>
        <w:rPr>
          <w:rFonts w:ascii="Arial" w:eastAsia="Times New Roman" w:hAnsi="Arial" w:cs="Arial"/>
          <w:color w:val="000000"/>
          <w:lang w:val="es-ES"/>
        </w:rPr>
      </w:pPr>
      <w:r w:rsidRPr="00B301C1">
        <w:rPr>
          <w:rFonts w:ascii="Arial" w:eastAsia="Times New Roman" w:hAnsi="Arial" w:cs="Arial"/>
          <w:color w:val="000000"/>
          <w:lang w:val="es-ES"/>
        </w:rPr>
        <w:t xml:space="preserve">∙ Describir e interpretar los componentes estructurales de las prácticas escolares en  particular y educativas en general, para convertirlos en objetos de análisis crítico. ∙ </w:t>
      </w:r>
    </w:p>
    <w:p w:rsidR="00B301C1" w:rsidRDefault="00B301C1" w:rsidP="00395CAF">
      <w:pPr>
        <w:spacing w:before="11" w:after="0" w:line="240" w:lineRule="auto"/>
        <w:ind w:right="494"/>
        <w:jc w:val="both"/>
        <w:rPr>
          <w:rFonts w:ascii="Arial" w:eastAsia="Times New Roman" w:hAnsi="Arial" w:cs="Arial"/>
          <w:color w:val="000000"/>
          <w:lang w:val="es-ES"/>
        </w:rPr>
      </w:pPr>
      <w:r>
        <w:rPr>
          <w:rFonts w:ascii="Arial" w:eastAsia="Times New Roman" w:hAnsi="Arial" w:cs="Arial"/>
          <w:color w:val="000000"/>
          <w:lang w:val="es-ES"/>
        </w:rPr>
        <w:t xml:space="preserve">  </w:t>
      </w:r>
      <w:r w:rsidRPr="00B301C1">
        <w:rPr>
          <w:rFonts w:ascii="Arial" w:eastAsia="Times New Roman" w:hAnsi="Arial" w:cs="Arial"/>
          <w:color w:val="000000"/>
          <w:lang w:val="es-ES"/>
        </w:rPr>
        <w:t xml:space="preserve">Problematizar los diversos estilos de gestión y discursos institucionales a fin de deconstruir y reconstruir lo observado de acuerdo a los propios marcos conceptuales. </w:t>
      </w:r>
    </w:p>
    <w:p w:rsidR="00B301C1" w:rsidRDefault="00B301C1" w:rsidP="00395CAF">
      <w:pPr>
        <w:spacing w:before="11" w:after="0" w:line="240" w:lineRule="auto"/>
        <w:ind w:right="494"/>
        <w:jc w:val="both"/>
        <w:rPr>
          <w:rFonts w:ascii="Arial" w:eastAsia="Times New Roman" w:hAnsi="Arial" w:cs="Arial"/>
          <w:color w:val="000000"/>
          <w:lang w:val="es-ES"/>
        </w:rPr>
      </w:pPr>
      <w:r w:rsidRPr="00B301C1">
        <w:rPr>
          <w:rFonts w:ascii="Arial" w:eastAsia="Times New Roman" w:hAnsi="Arial" w:cs="Arial"/>
          <w:color w:val="000000"/>
          <w:lang w:val="es-ES"/>
        </w:rPr>
        <w:t xml:space="preserve">∙ Analizar y comprender desde múltiples perspectivas, los factores estructurales y  dinámicos de las instituciones educativas como ámbito de la futura práctica profesional </w:t>
      </w:r>
    </w:p>
    <w:p w:rsidR="00B301C1" w:rsidRDefault="00B301C1" w:rsidP="00395CAF">
      <w:pPr>
        <w:spacing w:before="11" w:after="0" w:line="240" w:lineRule="auto"/>
        <w:ind w:right="494"/>
        <w:jc w:val="both"/>
        <w:rPr>
          <w:rFonts w:ascii="Arial" w:eastAsia="Times New Roman" w:hAnsi="Arial" w:cs="Arial"/>
          <w:color w:val="000000"/>
          <w:lang w:val="es-ES"/>
        </w:rPr>
      </w:pPr>
      <w:r w:rsidRPr="00B301C1">
        <w:rPr>
          <w:rFonts w:ascii="Arial" w:eastAsia="Times New Roman" w:hAnsi="Arial" w:cs="Arial"/>
          <w:color w:val="000000"/>
          <w:lang w:val="es-ES"/>
        </w:rPr>
        <w:t xml:space="preserve">∙ Construir instrumentos para la observación, registro y análisis de la complejidad  educativa, y la elaboración de informes de observaciones de prácticas escolares. </w:t>
      </w:r>
    </w:p>
    <w:p w:rsidR="00B301C1" w:rsidRDefault="00B301C1" w:rsidP="00395CAF">
      <w:pPr>
        <w:spacing w:before="11" w:after="0" w:line="240" w:lineRule="auto"/>
        <w:ind w:right="494"/>
        <w:jc w:val="both"/>
        <w:rPr>
          <w:rFonts w:ascii="Arial" w:eastAsia="Times New Roman" w:hAnsi="Arial" w:cs="Arial"/>
          <w:color w:val="000000"/>
          <w:lang w:val="es-ES"/>
        </w:rPr>
      </w:pPr>
      <w:r w:rsidRPr="00B301C1">
        <w:rPr>
          <w:rFonts w:ascii="Arial" w:eastAsia="Times New Roman" w:hAnsi="Arial" w:cs="Arial"/>
          <w:color w:val="000000"/>
          <w:lang w:val="es-ES"/>
        </w:rPr>
        <w:t xml:space="preserve">∙ Desarrollar un trabajo observación naturalista, indagación y análisis gradual y sistemático  acerca de las prácticas docentes en diferentes contextos y niveles educativos. </w:t>
      </w:r>
    </w:p>
    <w:p w:rsidR="00B301C1" w:rsidRDefault="00B301C1" w:rsidP="00395CAF">
      <w:pPr>
        <w:spacing w:before="11" w:after="0" w:line="240" w:lineRule="auto"/>
        <w:ind w:right="494"/>
        <w:jc w:val="both"/>
        <w:rPr>
          <w:rFonts w:ascii="Arial" w:eastAsia="Times New Roman" w:hAnsi="Arial" w:cs="Arial"/>
          <w:color w:val="000000"/>
          <w:lang w:val="es-ES"/>
        </w:rPr>
      </w:pPr>
      <w:r w:rsidRPr="00B301C1">
        <w:rPr>
          <w:rFonts w:ascii="Arial" w:eastAsia="Times New Roman" w:hAnsi="Arial" w:cs="Arial"/>
          <w:color w:val="000000"/>
          <w:lang w:val="es-ES"/>
        </w:rPr>
        <w:t>∙ Identificar y caracterizar los diversos contextos y modalidades de la educación musical en  el sistema educativo y en la educación artística específica. ∙</w:t>
      </w:r>
    </w:p>
    <w:p w:rsidR="00B301C1" w:rsidRPr="00B301C1" w:rsidRDefault="00B301C1" w:rsidP="00395CAF">
      <w:pPr>
        <w:spacing w:before="11" w:after="0" w:line="240" w:lineRule="auto"/>
        <w:ind w:right="494"/>
        <w:jc w:val="both"/>
        <w:rPr>
          <w:rFonts w:ascii="Arial" w:eastAsia="Times New Roman" w:hAnsi="Arial" w:cs="Arial"/>
          <w:color w:val="000000"/>
          <w:lang w:val="es-ES"/>
        </w:rPr>
      </w:pPr>
      <w:r w:rsidRPr="00B301C1">
        <w:rPr>
          <w:rFonts w:ascii="Arial" w:eastAsia="Times New Roman" w:hAnsi="Arial" w:cs="Arial"/>
          <w:color w:val="000000"/>
          <w:lang w:val="es-ES"/>
        </w:rPr>
        <w:t xml:space="preserve"> Analizar y comprender las estructuras y dinámicas de los grupos y las configuraciones  grupales.  </w:t>
      </w:r>
    </w:p>
    <w:p w:rsidR="00B301C1" w:rsidRPr="00B301C1" w:rsidRDefault="00B301C1" w:rsidP="00395CAF">
      <w:pPr>
        <w:spacing w:before="255" w:after="0" w:line="240" w:lineRule="auto"/>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Ejes de contenido </w:t>
      </w:r>
    </w:p>
    <w:p w:rsidR="00B301C1" w:rsidRPr="00B301C1" w:rsidRDefault="00B301C1" w:rsidP="00395CAF">
      <w:pPr>
        <w:spacing w:after="0" w:line="240" w:lineRule="auto"/>
        <w:ind w:right="496"/>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 xml:space="preserve">1. La institución y lo institucional. </w:t>
      </w:r>
      <w:r w:rsidRPr="00B301C1">
        <w:rPr>
          <w:rFonts w:ascii="Arial" w:eastAsia="Times New Roman" w:hAnsi="Arial" w:cs="Arial"/>
          <w:color w:val="000000"/>
          <w:lang w:val="es-ES"/>
        </w:rPr>
        <w:t>Componentes constitutivos de las instituciones  educativas. Las instituciones. Grupo e individuo. Normas, actores, prácticas. La  comunicación. Poder y autoridad. La ética institucional. Conflictos. Procesos de  negociación y gestión de la información en las instituciones. </w:t>
      </w:r>
    </w:p>
    <w:p w:rsidR="00B301C1" w:rsidRPr="00B301C1" w:rsidRDefault="00B301C1" w:rsidP="00395CAF">
      <w:pPr>
        <w:spacing w:before="4" w:after="0" w:line="240" w:lineRule="auto"/>
        <w:ind w:right="500"/>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 xml:space="preserve">2. La escuela como institución. </w:t>
      </w:r>
      <w:r w:rsidRPr="00B301C1">
        <w:rPr>
          <w:rFonts w:ascii="Arial" w:eastAsia="Times New Roman" w:hAnsi="Arial" w:cs="Arial"/>
          <w:color w:val="000000"/>
          <w:lang w:val="es-ES"/>
        </w:rPr>
        <w:t>Componentes básicos de un establecimiento educativo. El funcionamiento institucional. El aula y la institución. Poder, autoridad y relaciones  pedagógicas. </w:t>
      </w:r>
    </w:p>
    <w:p w:rsidR="001430F1" w:rsidRDefault="00B301C1" w:rsidP="00395CAF">
      <w:pPr>
        <w:spacing w:before="7" w:after="0" w:line="240" w:lineRule="auto"/>
        <w:ind w:right="494"/>
        <w:jc w:val="both"/>
        <w:rPr>
          <w:rFonts w:ascii="Arial" w:eastAsia="Times New Roman" w:hAnsi="Arial" w:cs="Arial"/>
          <w:color w:val="000000"/>
          <w:lang w:val="es-ES"/>
        </w:rPr>
      </w:pPr>
      <w:r w:rsidRPr="00B301C1">
        <w:rPr>
          <w:rFonts w:ascii="Arial" w:eastAsia="Times New Roman" w:hAnsi="Arial" w:cs="Arial"/>
          <w:b/>
          <w:bCs/>
          <w:color w:val="000000"/>
          <w:lang w:val="es-ES"/>
        </w:rPr>
        <w:t xml:space="preserve">3. </w:t>
      </w:r>
      <w:r w:rsidRPr="00B301C1">
        <w:rPr>
          <w:rFonts w:ascii="Arial" w:eastAsia="Times New Roman" w:hAnsi="Arial" w:cs="Arial"/>
          <w:color w:val="000000"/>
          <w:lang w:val="es-ES"/>
        </w:rPr>
        <w:t xml:space="preserve">Organización escolar: tiempos y espacios. Cultura e historia institucional. </w:t>
      </w:r>
    </w:p>
    <w:p w:rsidR="00B301C1" w:rsidRPr="00B301C1" w:rsidRDefault="00B301C1" w:rsidP="00395CAF">
      <w:pPr>
        <w:spacing w:before="7" w:after="0" w:line="240" w:lineRule="auto"/>
        <w:ind w:right="494"/>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 xml:space="preserve">4. Trabajo de campo. </w:t>
      </w:r>
      <w:r w:rsidRPr="00B301C1">
        <w:rPr>
          <w:rFonts w:ascii="Arial" w:eastAsia="Times New Roman" w:hAnsi="Arial" w:cs="Arial"/>
          <w:color w:val="000000"/>
          <w:lang w:val="es-ES"/>
        </w:rPr>
        <w:t>Manejo de la información. Instrumentos para recolectar, registrar y  analizar la información empírica: la observación, la entrevista (desde la perspectiva  etnográfica y de la metodología de la investigación), la encuesta. La ética en la  instrumentación de estas herramientas. Análisis de documentos. Dispositivos: biografía escolar, diarios de ruta o cuadernos de bitácora, cuadernos de campo, etcétera.  Elaboración de informes. </w:t>
      </w:r>
    </w:p>
    <w:p w:rsidR="00B301C1" w:rsidRPr="00B301C1" w:rsidRDefault="00B301C1" w:rsidP="00395CAF">
      <w:pPr>
        <w:spacing w:before="5" w:after="0" w:line="240" w:lineRule="auto"/>
        <w:ind w:right="495"/>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 xml:space="preserve">5. El arte en el contexto de la institución. </w:t>
      </w:r>
      <w:r w:rsidRPr="00B301C1">
        <w:rPr>
          <w:rFonts w:ascii="Arial" w:eastAsia="Times New Roman" w:hAnsi="Arial" w:cs="Arial"/>
          <w:color w:val="000000"/>
          <w:lang w:val="es-ES"/>
        </w:rPr>
        <w:t>Objeto, espacios, tiempos vinculados con la  presencia del arte en la escuela. Arte y comunidad: expresión artística y proyecto  comunitario. </w:t>
      </w:r>
    </w:p>
    <w:p w:rsidR="00B301C1" w:rsidRPr="00B301C1" w:rsidRDefault="00B301C1" w:rsidP="00395CAF">
      <w:pPr>
        <w:spacing w:before="508" w:after="0" w:line="240" w:lineRule="auto"/>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 xml:space="preserve">b. </w:t>
      </w:r>
      <w:r w:rsidRPr="00B301C1">
        <w:rPr>
          <w:rFonts w:ascii="Arial" w:eastAsia="Times New Roman" w:hAnsi="Arial" w:cs="Arial"/>
          <w:b/>
          <w:bCs/>
          <w:color w:val="000000"/>
          <w:u w:val="single"/>
          <w:lang w:val="es-ES"/>
        </w:rPr>
        <w:t>TALLER</w:t>
      </w:r>
      <w:r w:rsidRPr="00B301C1">
        <w:rPr>
          <w:rFonts w:ascii="Arial" w:eastAsia="Times New Roman" w:hAnsi="Arial" w:cs="Arial"/>
          <w:b/>
          <w:bCs/>
          <w:color w:val="000000"/>
          <w:lang w:val="es-ES"/>
        </w:rPr>
        <w:t xml:space="preserve">: </w:t>
      </w:r>
      <w:r w:rsidRPr="00B301C1">
        <w:rPr>
          <w:rFonts w:ascii="Arial" w:eastAsia="Times New Roman" w:hAnsi="Arial" w:cs="Arial"/>
          <w:b/>
          <w:bCs/>
          <w:i/>
          <w:iCs/>
          <w:color w:val="000000"/>
          <w:lang w:val="es-ES"/>
        </w:rPr>
        <w:t>El rol y el trabajo docente </w:t>
      </w:r>
    </w:p>
    <w:p w:rsidR="00B301C1" w:rsidRPr="00B301C1" w:rsidRDefault="00B301C1" w:rsidP="00395CAF">
      <w:pPr>
        <w:spacing w:before="249" w:after="0" w:line="240" w:lineRule="auto"/>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Objetivos </w:t>
      </w:r>
    </w:p>
    <w:p w:rsidR="00B301C1" w:rsidRPr="00B301C1" w:rsidRDefault="00B301C1" w:rsidP="00395CAF">
      <w:pPr>
        <w:spacing w:before="11" w:after="0" w:line="240" w:lineRule="auto"/>
        <w:ind w:right="498"/>
        <w:jc w:val="both"/>
        <w:rPr>
          <w:rFonts w:ascii="Times New Roman" w:eastAsia="Times New Roman" w:hAnsi="Times New Roman"/>
          <w:sz w:val="24"/>
          <w:szCs w:val="24"/>
          <w:lang w:val="es-ES"/>
        </w:rPr>
      </w:pPr>
      <w:r w:rsidRPr="00B301C1">
        <w:rPr>
          <w:rFonts w:ascii="Arial" w:eastAsia="Times New Roman" w:hAnsi="Arial" w:cs="Arial"/>
          <w:color w:val="000000"/>
          <w:lang w:val="es-ES"/>
        </w:rPr>
        <w:t>∙ Analizar y comprender las características y distintas temáticas vinculadas al trabajo, la  profesión y el rol docente y la función del docente de música dentro del aula y en su inserción en diversos ámbitos educativos </w:t>
      </w:r>
    </w:p>
    <w:p w:rsidR="001430F1" w:rsidRDefault="00B301C1" w:rsidP="00395CAF">
      <w:pPr>
        <w:spacing w:before="19" w:after="0" w:line="240" w:lineRule="auto"/>
        <w:ind w:right="501"/>
        <w:jc w:val="both"/>
        <w:rPr>
          <w:rFonts w:ascii="Arial" w:eastAsia="Times New Roman" w:hAnsi="Arial" w:cs="Arial"/>
          <w:color w:val="000000"/>
          <w:lang w:val="es-ES"/>
        </w:rPr>
      </w:pPr>
      <w:r w:rsidRPr="00B301C1">
        <w:rPr>
          <w:rFonts w:ascii="Arial" w:eastAsia="Times New Roman" w:hAnsi="Arial" w:cs="Arial"/>
          <w:color w:val="000000"/>
          <w:lang w:val="es-ES"/>
        </w:rPr>
        <w:t>∙ Identificar características y supuestos fundantes de las prácticas educativas.</w:t>
      </w:r>
    </w:p>
    <w:p w:rsidR="00B301C1" w:rsidRPr="00B301C1" w:rsidRDefault="001430F1" w:rsidP="00395CAF">
      <w:pPr>
        <w:spacing w:before="19" w:after="0" w:line="240" w:lineRule="auto"/>
        <w:ind w:right="501"/>
        <w:jc w:val="both"/>
        <w:rPr>
          <w:rFonts w:ascii="Arial" w:eastAsia="Times New Roman" w:hAnsi="Arial" w:cs="Arial"/>
          <w:color w:val="000000"/>
          <w:lang w:val="es-ES"/>
        </w:rPr>
      </w:pPr>
      <w:r>
        <w:rPr>
          <w:rFonts w:ascii="Arial" w:eastAsia="Times New Roman" w:hAnsi="Arial" w:cs="Arial"/>
          <w:color w:val="000000"/>
          <w:lang w:val="es-ES"/>
        </w:rPr>
        <w:t xml:space="preserve">  </w:t>
      </w:r>
      <w:r w:rsidR="00B301C1" w:rsidRPr="00B301C1">
        <w:rPr>
          <w:rFonts w:ascii="Arial" w:eastAsia="Times New Roman" w:hAnsi="Arial" w:cs="Arial"/>
          <w:color w:val="000000"/>
          <w:lang w:val="es-ES"/>
        </w:rPr>
        <w:t>Desarrollar criterios para el análisis del rol y de las prácticas docentes y su inserción</w:t>
      </w:r>
      <w:r>
        <w:rPr>
          <w:rFonts w:ascii="Arial" w:eastAsia="Times New Roman" w:hAnsi="Arial" w:cs="Arial"/>
          <w:color w:val="000000"/>
          <w:lang w:val="es-ES"/>
        </w:rPr>
        <w:t xml:space="preserve"> </w:t>
      </w:r>
      <w:r w:rsidR="00B301C1" w:rsidRPr="00B301C1">
        <w:rPr>
          <w:rFonts w:ascii="Arial" w:eastAsia="Times New Roman" w:hAnsi="Arial" w:cs="Arial"/>
          <w:color w:val="000000"/>
          <w:lang w:val="es-ES"/>
        </w:rPr>
        <w:t>en el  contexto educativo. </w:t>
      </w:r>
    </w:p>
    <w:p w:rsidR="00B301C1" w:rsidRPr="00B301C1" w:rsidRDefault="00B301C1" w:rsidP="00395CAF">
      <w:pPr>
        <w:spacing w:before="12" w:after="0" w:line="240" w:lineRule="auto"/>
        <w:ind w:right="498"/>
        <w:jc w:val="both"/>
        <w:rPr>
          <w:rFonts w:ascii="Times New Roman" w:eastAsia="Times New Roman" w:hAnsi="Times New Roman"/>
          <w:sz w:val="24"/>
          <w:szCs w:val="24"/>
          <w:lang w:val="es-ES"/>
        </w:rPr>
      </w:pPr>
      <w:r w:rsidRPr="00B301C1">
        <w:rPr>
          <w:rFonts w:ascii="Arial" w:eastAsia="Times New Roman" w:hAnsi="Arial" w:cs="Arial"/>
          <w:color w:val="000000"/>
          <w:lang w:val="es-ES"/>
        </w:rPr>
        <w:t>∙ Fortalecer el rol docente, posibilitando una mayor percepción de las situaciones y  procesos grupales e individuales de los alumnos. </w:t>
      </w:r>
    </w:p>
    <w:p w:rsidR="00B301C1" w:rsidRPr="00B301C1" w:rsidRDefault="00B301C1" w:rsidP="00395CAF">
      <w:pPr>
        <w:spacing w:before="18" w:after="0" w:line="240" w:lineRule="auto"/>
        <w:ind w:right="500"/>
        <w:jc w:val="both"/>
        <w:rPr>
          <w:rFonts w:ascii="Times New Roman" w:eastAsia="Times New Roman" w:hAnsi="Times New Roman"/>
          <w:sz w:val="24"/>
          <w:szCs w:val="24"/>
          <w:lang w:val="es-ES"/>
        </w:rPr>
      </w:pPr>
      <w:r w:rsidRPr="00B301C1">
        <w:rPr>
          <w:rFonts w:ascii="Arial" w:eastAsia="Times New Roman" w:hAnsi="Arial" w:cs="Arial"/>
          <w:color w:val="000000"/>
          <w:lang w:val="es-ES"/>
        </w:rPr>
        <w:lastRenderedPageBreak/>
        <w:t>∙ Analizar reflexivamente y comprender los procesos internos del docente en su relación  con el desarrollo de la clase. </w:t>
      </w:r>
    </w:p>
    <w:p w:rsidR="00B301C1" w:rsidRPr="00B301C1" w:rsidRDefault="00B301C1" w:rsidP="00395CAF">
      <w:pPr>
        <w:spacing w:before="252" w:after="0" w:line="240" w:lineRule="auto"/>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Ejes de contenido </w:t>
      </w:r>
    </w:p>
    <w:p w:rsidR="00B301C1" w:rsidRPr="00B301C1" w:rsidRDefault="00B301C1" w:rsidP="00395CAF">
      <w:pPr>
        <w:spacing w:after="0" w:line="240" w:lineRule="auto"/>
        <w:ind w:right="498"/>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 xml:space="preserve">1. El trabajo docente. </w:t>
      </w:r>
      <w:r w:rsidRPr="00B301C1">
        <w:rPr>
          <w:rFonts w:ascii="Arial" w:eastAsia="Times New Roman" w:hAnsi="Arial" w:cs="Arial"/>
          <w:color w:val="000000"/>
          <w:lang w:val="es-ES"/>
        </w:rPr>
        <w:t>El análisis de las características de la tarea del profesor de música  desde el punto de vista de la realización de una práctica</w:t>
      </w:r>
      <w:r>
        <w:rPr>
          <w:rFonts w:ascii="Arial" w:eastAsia="Times New Roman" w:hAnsi="Arial" w:cs="Arial"/>
          <w:color w:val="000000"/>
          <w:lang w:val="es-ES"/>
        </w:rPr>
        <w:t xml:space="preserve"> </w:t>
      </w:r>
      <w:r w:rsidRPr="00B301C1">
        <w:rPr>
          <w:rFonts w:ascii="Arial" w:eastAsia="Times New Roman" w:hAnsi="Arial" w:cs="Arial"/>
          <w:color w:val="000000"/>
          <w:lang w:val="es-ES"/>
        </w:rPr>
        <w:t>profesional. Las</w:t>
      </w:r>
      <w:r w:rsidR="001430F1">
        <w:rPr>
          <w:rFonts w:ascii="Arial" w:eastAsia="Times New Roman" w:hAnsi="Arial" w:cs="Arial"/>
          <w:color w:val="000000"/>
          <w:lang w:val="es-ES"/>
        </w:rPr>
        <w:t xml:space="preserve"> </w:t>
      </w:r>
      <w:r w:rsidRPr="00B301C1">
        <w:rPr>
          <w:rFonts w:ascii="Arial" w:eastAsia="Times New Roman" w:hAnsi="Arial" w:cs="Arial"/>
          <w:color w:val="000000"/>
          <w:lang w:val="es-ES"/>
        </w:rPr>
        <w:t>problemáticas</w:t>
      </w:r>
      <w:r>
        <w:rPr>
          <w:rFonts w:ascii="Times New Roman" w:eastAsia="Times New Roman" w:hAnsi="Times New Roman"/>
          <w:sz w:val="24"/>
          <w:szCs w:val="24"/>
          <w:lang w:val="es-ES"/>
        </w:rPr>
        <w:t xml:space="preserve"> </w:t>
      </w:r>
      <w:r w:rsidRPr="00B301C1">
        <w:rPr>
          <w:rFonts w:ascii="Arial" w:eastAsia="Times New Roman" w:hAnsi="Arial" w:cs="Arial"/>
          <w:color w:val="000000"/>
          <w:lang w:val="es-ES"/>
        </w:rPr>
        <w:t>laborales, las condiciones de trabajo, el papel dentro del sistema educativo. El análisis del  lugar del docente como integrante de un equipo de trabajo: los vínculos con otros pares,  con los equipos de conducción y supervisión. </w:t>
      </w:r>
    </w:p>
    <w:p w:rsidR="00B301C1" w:rsidRPr="00B301C1" w:rsidRDefault="00B301C1" w:rsidP="00395CAF">
      <w:pPr>
        <w:spacing w:before="4" w:after="0" w:line="240" w:lineRule="auto"/>
        <w:ind w:right="497"/>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 xml:space="preserve">2. La tarea del docente. </w:t>
      </w:r>
      <w:r w:rsidRPr="00B301C1">
        <w:rPr>
          <w:rFonts w:ascii="Arial" w:eastAsia="Times New Roman" w:hAnsi="Arial" w:cs="Arial"/>
          <w:color w:val="000000"/>
          <w:lang w:val="es-ES"/>
        </w:rPr>
        <w:t>La inserción del docente en las tareas institucionales de la  organización de la enseñanza: la organización de la clase, la coordinación del grupo, la  preparación de las condiciones y otros. </w:t>
      </w:r>
    </w:p>
    <w:p w:rsidR="00B301C1" w:rsidRPr="00B301C1" w:rsidRDefault="00B301C1" w:rsidP="00395CAF">
      <w:pPr>
        <w:spacing w:before="4" w:after="0" w:line="240" w:lineRule="auto"/>
        <w:ind w:right="495"/>
        <w:jc w:val="both"/>
        <w:rPr>
          <w:rFonts w:ascii="Times New Roman" w:eastAsia="Times New Roman" w:hAnsi="Times New Roman"/>
          <w:sz w:val="24"/>
          <w:szCs w:val="24"/>
          <w:lang w:val="es-ES"/>
        </w:rPr>
      </w:pPr>
      <w:r w:rsidRPr="00B301C1">
        <w:rPr>
          <w:rFonts w:ascii="Arial" w:eastAsia="Times New Roman" w:hAnsi="Arial" w:cs="Arial"/>
          <w:b/>
          <w:bCs/>
          <w:color w:val="000000"/>
          <w:lang w:val="es-ES"/>
        </w:rPr>
        <w:t xml:space="preserve">3. La identidad docente. </w:t>
      </w:r>
      <w:r w:rsidRPr="00B301C1">
        <w:rPr>
          <w:rFonts w:ascii="Arial" w:eastAsia="Times New Roman" w:hAnsi="Arial" w:cs="Arial"/>
          <w:color w:val="000000"/>
          <w:lang w:val="es-ES"/>
        </w:rPr>
        <w:t xml:space="preserve">Las nociones de campo profesional y </w:t>
      </w:r>
      <w:proofErr w:type="spellStart"/>
      <w:r w:rsidRPr="00B301C1">
        <w:rPr>
          <w:rFonts w:ascii="Arial" w:eastAsia="Times New Roman" w:hAnsi="Arial" w:cs="Arial"/>
          <w:color w:val="000000"/>
          <w:lang w:val="es-ES"/>
        </w:rPr>
        <w:t>habitus</w:t>
      </w:r>
      <w:proofErr w:type="spellEnd"/>
      <w:r w:rsidRPr="00B301C1">
        <w:rPr>
          <w:rFonts w:ascii="Arial" w:eastAsia="Times New Roman" w:hAnsi="Arial" w:cs="Arial"/>
          <w:color w:val="000000"/>
          <w:lang w:val="es-ES"/>
        </w:rPr>
        <w:t xml:space="preserve">. El análisis de la  constitución de la identidad docente, desde la conformación de un </w:t>
      </w:r>
      <w:proofErr w:type="spellStart"/>
      <w:r w:rsidRPr="00B301C1">
        <w:rPr>
          <w:rFonts w:ascii="Arial" w:eastAsia="Times New Roman" w:hAnsi="Arial" w:cs="Arial"/>
          <w:color w:val="000000"/>
          <w:lang w:val="es-ES"/>
        </w:rPr>
        <w:t>habitus</w:t>
      </w:r>
      <w:proofErr w:type="spellEnd"/>
      <w:r w:rsidRPr="00B301C1">
        <w:rPr>
          <w:rFonts w:ascii="Arial" w:eastAsia="Times New Roman" w:hAnsi="Arial" w:cs="Arial"/>
          <w:color w:val="000000"/>
          <w:lang w:val="es-ES"/>
        </w:rPr>
        <w:t xml:space="preserve"> y desde los  procesos de socialización e internalización de un determinado modelo de  actuar/pensar/sentir docente. La conformación histórica de la tarea docente: las  tradiciones argentinas y latinoamericanas.  </w:t>
      </w:r>
    </w:p>
    <w:p w:rsidR="00B301C1" w:rsidRDefault="00B301C1" w:rsidP="00395CAF">
      <w:pPr>
        <w:spacing w:before="4" w:after="0" w:line="240" w:lineRule="auto"/>
        <w:ind w:right="496"/>
        <w:jc w:val="both"/>
        <w:rPr>
          <w:rFonts w:ascii="Arial" w:eastAsia="Times New Roman" w:hAnsi="Arial" w:cs="Arial"/>
          <w:color w:val="000000"/>
          <w:lang w:val="es-ES"/>
        </w:rPr>
      </w:pPr>
      <w:r w:rsidRPr="00B301C1">
        <w:rPr>
          <w:rFonts w:ascii="Arial" w:eastAsia="Times New Roman" w:hAnsi="Arial" w:cs="Arial"/>
          <w:b/>
          <w:bCs/>
          <w:color w:val="000000"/>
          <w:lang w:val="es-ES"/>
        </w:rPr>
        <w:t xml:space="preserve">4. Docente, alumnos y educandos en general. </w:t>
      </w:r>
      <w:r w:rsidRPr="00B301C1">
        <w:rPr>
          <w:rFonts w:ascii="Arial" w:eastAsia="Times New Roman" w:hAnsi="Arial" w:cs="Arial"/>
          <w:color w:val="000000"/>
          <w:lang w:val="es-ES"/>
        </w:rPr>
        <w:t>La reflexión sobre la contribución del  docente al sentido público de la educación. La incidencia del trabajo docente en la  construcción de la ciudadanía. El significado de la transmisión intergeneracional. Análisis  de los aspectos vinculares y relacionales. La conformación de comunidades de  aprendizaje. </w:t>
      </w:r>
    </w:p>
    <w:p w:rsidR="0014099A" w:rsidRDefault="0014099A" w:rsidP="00395CAF">
      <w:pPr>
        <w:spacing w:before="4" w:after="0" w:line="240" w:lineRule="auto"/>
        <w:ind w:right="496"/>
        <w:jc w:val="both"/>
        <w:rPr>
          <w:rFonts w:ascii="Arial" w:eastAsia="Times New Roman" w:hAnsi="Arial" w:cs="Arial"/>
          <w:color w:val="000000"/>
          <w:lang w:val="es-ES"/>
        </w:rPr>
      </w:pPr>
    </w:p>
    <w:bookmarkEnd w:id="1"/>
    <w:bookmarkEnd w:id="6"/>
    <w:p w:rsidR="0014099A" w:rsidRDefault="0014099A" w:rsidP="0014099A">
      <w:pPr>
        <w:pBdr>
          <w:top w:val="single" w:sz="4" w:space="1" w:color="auto"/>
          <w:left w:val="single" w:sz="4" w:space="4" w:color="auto"/>
          <w:bottom w:val="single" w:sz="4" w:space="1" w:color="auto"/>
          <w:right w:val="single" w:sz="4" w:space="4" w:color="auto"/>
        </w:pBdr>
        <w:spacing w:after="0" w:line="240" w:lineRule="auto"/>
        <w:rPr>
          <w:lang w:val="es-ES"/>
        </w:rPr>
      </w:pPr>
      <w:r>
        <w:rPr>
          <w:lang w:val="es-ES"/>
        </w:rPr>
        <w:t>Se sugiere consultar la estructura de los planes vigentes en la web del Conservatorio a fin de comprender el contexto de esta unidad curricular dentro de toda la carrera.</w:t>
      </w:r>
    </w:p>
    <w:p w:rsidR="0014099A" w:rsidRDefault="00EF5D1C" w:rsidP="0014099A">
      <w:pPr>
        <w:pBdr>
          <w:top w:val="single" w:sz="4" w:space="1" w:color="auto"/>
          <w:left w:val="single" w:sz="4" w:space="4" w:color="auto"/>
          <w:bottom w:val="single" w:sz="4" w:space="1" w:color="auto"/>
          <w:right w:val="single" w:sz="4" w:space="4" w:color="auto"/>
        </w:pBdr>
        <w:spacing w:after="0" w:line="240" w:lineRule="auto"/>
        <w:rPr>
          <w:lang w:val="es-ES"/>
        </w:rPr>
      </w:pPr>
      <w:hyperlink r:id="rId8" w:tgtFrame="_blank" w:history="1">
        <w:r w:rsidR="0014099A">
          <w:rPr>
            <w:rStyle w:val="Hipervnculo"/>
            <w:rFonts w:ascii="Arial" w:hAnsi="Arial" w:cs="Arial"/>
            <w:color w:val="1155CC"/>
            <w:shd w:val="clear" w:color="auto" w:fill="FFFFFF"/>
            <w:lang w:val="es-ES"/>
          </w:rPr>
          <w:t>https://cmfalla-caba.infd.edu.ar/sitio/area-academica/</w:t>
        </w:r>
      </w:hyperlink>
      <w:r w:rsidR="0014099A">
        <w:rPr>
          <w:rFonts w:ascii="Arial" w:hAnsi="Arial" w:cs="Arial"/>
          <w:color w:val="222222"/>
          <w:shd w:val="clear" w:color="auto" w:fill="FFFFFF"/>
          <w:lang w:val="es-ES"/>
        </w:rPr>
        <w:t> </w:t>
      </w:r>
    </w:p>
    <w:p w:rsidR="000E0756" w:rsidRPr="0014099A" w:rsidRDefault="000E0756" w:rsidP="0014099A">
      <w:pPr>
        <w:spacing w:before="4" w:after="0" w:line="240" w:lineRule="auto"/>
        <w:ind w:right="496"/>
        <w:jc w:val="both"/>
        <w:rPr>
          <w:lang w:val="es-ES"/>
        </w:rPr>
      </w:pPr>
    </w:p>
    <w:sectPr w:rsidR="000E0756" w:rsidRPr="0014099A" w:rsidSect="00254AE4">
      <w:headerReference w:type="default" r:id="rId9"/>
      <w:pgSz w:w="11906" w:h="16838"/>
      <w:pgMar w:top="1417" w:right="1416"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213" w:rsidRDefault="00016213">
      <w:pPr>
        <w:spacing w:after="0" w:line="240" w:lineRule="auto"/>
      </w:pPr>
      <w:r>
        <w:separator/>
      </w:r>
    </w:p>
  </w:endnote>
  <w:endnote w:type="continuationSeparator" w:id="0">
    <w:p w:rsidR="00016213" w:rsidRDefault="00016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213" w:rsidRDefault="00016213">
      <w:pPr>
        <w:spacing w:after="0" w:line="240" w:lineRule="auto"/>
      </w:pPr>
      <w:r>
        <w:separator/>
      </w:r>
    </w:p>
  </w:footnote>
  <w:footnote w:type="continuationSeparator" w:id="0">
    <w:p w:rsidR="00016213" w:rsidRDefault="00016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A4" w:rsidRPr="00E34B23" w:rsidRDefault="00E34B23">
    <w:pPr>
      <w:pStyle w:val="Encabezado"/>
      <w:rPr>
        <w:rFonts w:cs="Calibri"/>
        <w:b/>
      </w:rPr>
    </w:pPr>
    <w:bookmarkStart w:id="7" w:name="_Hlk63940286"/>
    <w:bookmarkStart w:id="8" w:name="_Hlk63940287"/>
    <w:r>
      <w:rPr>
        <w:noProof/>
        <w:lang w:eastAsia="es-AR"/>
      </w:rPr>
      <w:drawing>
        <wp:anchor distT="0" distB="0" distL="114300" distR="114300" simplePos="0" relativeHeight="251660288" behindDoc="0" locked="0" layoutInCell="1" allowOverlap="1">
          <wp:simplePos x="0" y="0"/>
          <wp:positionH relativeFrom="margin">
            <wp:posOffset>-228600</wp:posOffset>
          </wp:positionH>
          <wp:positionV relativeFrom="margin">
            <wp:posOffset>-623570</wp:posOffset>
          </wp:positionV>
          <wp:extent cx="1962150" cy="895350"/>
          <wp:effectExtent l="19050" t="0" r="0" b="0"/>
          <wp:wrapSquare wrapText="bothSides"/>
          <wp:docPr id="2" name="Imagen 1" descr="logos_falla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falla_h"/>
                  <pic:cNvPicPr>
                    <a:picLocks noChangeAspect="1" noChangeArrowheads="1"/>
                  </pic:cNvPicPr>
                </pic:nvPicPr>
                <pic:blipFill>
                  <a:blip r:embed="rId1"/>
                  <a:srcRect/>
                  <a:stretch>
                    <a:fillRect/>
                  </a:stretch>
                </pic:blipFill>
                <pic:spPr bwMode="auto">
                  <a:xfrm>
                    <a:off x="0" y="0"/>
                    <a:ext cx="1962150" cy="895350"/>
                  </a:xfrm>
                  <a:prstGeom prst="rect">
                    <a:avLst/>
                  </a:prstGeom>
                  <a:noFill/>
                  <a:ln w="9525">
                    <a:noFill/>
                    <a:miter lim="800000"/>
                    <a:headEnd/>
                    <a:tailEnd/>
                  </a:ln>
                </pic:spPr>
              </pic:pic>
            </a:graphicData>
          </a:graphic>
        </wp:anchor>
      </w:drawing>
    </w:r>
    <w:bookmarkEnd w:id="7"/>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A2AB7"/>
    <w:multiLevelType w:val="hybridMultilevel"/>
    <w:tmpl w:val="1940340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B301C1"/>
    <w:rsid w:val="000122A1"/>
    <w:rsid w:val="00016213"/>
    <w:rsid w:val="000E0756"/>
    <w:rsid w:val="0014099A"/>
    <w:rsid w:val="001430F1"/>
    <w:rsid w:val="00145D6E"/>
    <w:rsid w:val="00270A8B"/>
    <w:rsid w:val="002C1048"/>
    <w:rsid w:val="002E021B"/>
    <w:rsid w:val="00395CAF"/>
    <w:rsid w:val="006A37C1"/>
    <w:rsid w:val="0071619C"/>
    <w:rsid w:val="00930F29"/>
    <w:rsid w:val="00B301C1"/>
    <w:rsid w:val="00B721A4"/>
    <w:rsid w:val="00E34B23"/>
    <w:rsid w:val="00EF5D1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C1"/>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1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01C1"/>
    <w:rPr>
      <w:rFonts w:ascii="Calibri" w:eastAsia="Calibri" w:hAnsi="Calibri" w:cs="Times New Roman"/>
      <w:lang w:val="es-AR"/>
    </w:rPr>
  </w:style>
  <w:style w:type="character" w:styleId="Hipervnculo">
    <w:name w:val="Hyperlink"/>
    <w:uiPriority w:val="99"/>
    <w:unhideWhenUsed/>
    <w:rsid w:val="00B301C1"/>
    <w:rPr>
      <w:color w:val="0000FF"/>
      <w:u w:val="single"/>
    </w:rPr>
  </w:style>
  <w:style w:type="paragraph" w:styleId="Prrafodelista">
    <w:name w:val="List Paragraph"/>
    <w:basedOn w:val="Normal"/>
    <w:uiPriority w:val="34"/>
    <w:qFormat/>
    <w:rsid w:val="00B301C1"/>
    <w:pPr>
      <w:ind w:left="720"/>
      <w:contextualSpacing/>
    </w:pPr>
  </w:style>
  <w:style w:type="paragraph" w:styleId="NormalWeb">
    <w:name w:val="Normal (Web)"/>
    <w:basedOn w:val="Normal"/>
    <w:uiPriority w:val="99"/>
    <w:unhideWhenUsed/>
    <w:rsid w:val="00B301C1"/>
    <w:pPr>
      <w:spacing w:before="100" w:beforeAutospacing="1" w:after="100" w:afterAutospacing="1" w:line="240" w:lineRule="auto"/>
    </w:pPr>
    <w:rPr>
      <w:rFonts w:ascii="Times New Roman" w:eastAsia="Times New Roman" w:hAnsi="Times New Roman"/>
      <w:sz w:val="24"/>
      <w:szCs w:val="24"/>
      <w:lang w:val="en-US"/>
    </w:rPr>
  </w:style>
  <w:style w:type="paragraph" w:styleId="Piedepgina">
    <w:name w:val="footer"/>
    <w:basedOn w:val="Normal"/>
    <w:link w:val="PiedepginaCar"/>
    <w:uiPriority w:val="99"/>
    <w:semiHidden/>
    <w:unhideWhenUsed/>
    <w:rsid w:val="00E34B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34B23"/>
    <w:rPr>
      <w:rFonts w:ascii="Calibri" w:eastAsia="Calibri" w:hAnsi="Calibri" w:cs="Times New Roman"/>
      <w:lang w:val="es-AR"/>
    </w:rPr>
  </w:style>
</w:styles>
</file>

<file path=word/webSettings.xml><?xml version="1.0" encoding="utf-8"?>
<w:webSettings xmlns:r="http://schemas.openxmlformats.org/officeDocument/2006/relationships" xmlns:w="http://schemas.openxmlformats.org/wordprocessingml/2006/main">
  <w:divs>
    <w:div w:id="673456998">
      <w:bodyDiv w:val="1"/>
      <w:marLeft w:val="0"/>
      <w:marRight w:val="0"/>
      <w:marTop w:val="0"/>
      <w:marBottom w:val="0"/>
      <w:divBdr>
        <w:top w:val="none" w:sz="0" w:space="0" w:color="auto"/>
        <w:left w:val="none" w:sz="0" w:space="0" w:color="auto"/>
        <w:bottom w:val="none" w:sz="0" w:space="0" w:color="auto"/>
        <w:right w:val="none" w:sz="0" w:space="0" w:color="auto"/>
      </w:divBdr>
    </w:div>
    <w:div w:id="9862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falla-caba.infd.edu.ar/sitio/area-academica/" TargetMode="External"/><Relationship Id="rId3" Type="http://schemas.openxmlformats.org/officeDocument/2006/relationships/settings" Target="settings.xml"/><Relationship Id="rId7" Type="http://schemas.openxmlformats.org/officeDocument/2006/relationships/hyperlink" Target="mailto:departamentofgy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1045</Words>
  <Characters>5750</Characters>
  <Application>Microsoft Office Word</Application>
  <DocSecurity>0</DocSecurity>
  <Lines>47</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Stegmann</dc:creator>
  <cp:keywords/>
  <dc:description/>
  <cp:lastModifiedBy>MARCOS</cp:lastModifiedBy>
  <cp:revision>11</cp:revision>
  <dcterms:created xsi:type="dcterms:W3CDTF">2021-02-19T19:26:00Z</dcterms:created>
  <dcterms:modified xsi:type="dcterms:W3CDTF">2021-02-27T13:44:00Z</dcterms:modified>
</cp:coreProperties>
</file>