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C41" w:rsidRDefault="00C20D43">
      <w:pPr>
        <w:jc w:val="center"/>
        <w:rPr>
          <w:rFonts w:ascii="Arial" w:eastAsia="Arial" w:hAnsi="Arial" w:cs="Arial"/>
        </w:rPr>
      </w:pPr>
      <w:r>
        <w:rPr>
          <w:u w:val="single"/>
        </w:rPr>
        <w:t>FICHA PARA CONVOCATORIAS DOCENTES</w:t>
      </w:r>
    </w:p>
    <w:tbl>
      <w:tblPr>
        <w:tblStyle w:val="a"/>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47"/>
        <w:gridCol w:w="6173"/>
      </w:tblGrid>
      <w:tr w:rsidR="001936C5" w:rsidTr="006071CE">
        <w:trPr>
          <w:trHeight w:val="416"/>
        </w:trPr>
        <w:tc>
          <w:tcPr>
            <w:tcW w:w="2547" w:type="dxa"/>
            <w:vAlign w:val="center"/>
          </w:tcPr>
          <w:p w:rsidR="001936C5" w:rsidRDefault="001936C5" w:rsidP="001936C5">
            <w:pPr>
              <w:spacing w:after="0" w:line="240" w:lineRule="auto"/>
              <w:rPr>
                <w:b/>
              </w:rPr>
            </w:pPr>
            <w:r>
              <w:rPr>
                <w:b/>
              </w:rPr>
              <w:t>DEPARTAMENTO</w:t>
            </w:r>
          </w:p>
        </w:tc>
        <w:tc>
          <w:tcPr>
            <w:tcW w:w="6173" w:type="dxa"/>
            <w:vAlign w:val="center"/>
          </w:tcPr>
          <w:p w:rsidR="001936C5" w:rsidRDefault="001936C5" w:rsidP="001936C5">
            <w:pPr>
              <w:spacing w:after="0" w:line="240" w:lineRule="auto"/>
              <w:rPr>
                <w:b/>
              </w:rPr>
            </w:pPr>
            <w:r>
              <w:rPr>
                <w:b/>
              </w:rPr>
              <w:t>ELEMENTOS TÉCNICOS ciclo SUPERIOR</w:t>
            </w:r>
          </w:p>
        </w:tc>
      </w:tr>
      <w:tr w:rsidR="001936C5" w:rsidTr="006071CE">
        <w:trPr>
          <w:trHeight w:val="422"/>
        </w:trPr>
        <w:tc>
          <w:tcPr>
            <w:tcW w:w="2547" w:type="dxa"/>
            <w:vAlign w:val="center"/>
          </w:tcPr>
          <w:p w:rsidR="001936C5" w:rsidRDefault="001936C5" w:rsidP="00546EFD">
            <w:pPr>
              <w:spacing w:after="0" w:line="240" w:lineRule="auto"/>
            </w:pPr>
            <w:r>
              <w:t>Coordinador a cargo</w:t>
            </w:r>
          </w:p>
        </w:tc>
        <w:tc>
          <w:tcPr>
            <w:tcW w:w="6173" w:type="dxa"/>
            <w:vAlign w:val="center"/>
          </w:tcPr>
          <w:p w:rsidR="001936C5" w:rsidRDefault="001936C5" w:rsidP="001936C5">
            <w:pPr>
              <w:spacing w:after="0" w:line="240" w:lineRule="auto"/>
            </w:pPr>
            <w:r>
              <w:t>Jorge Lavista</w:t>
            </w:r>
          </w:p>
        </w:tc>
      </w:tr>
      <w:tr w:rsidR="001936C5" w:rsidTr="006071CE">
        <w:trPr>
          <w:trHeight w:val="414"/>
        </w:trPr>
        <w:tc>
          <w:tcPr>
            <w:tcW w:w="2547" w:type="dxa"/>
            <w:vAlign w:val="center"/>
          </w:tcPr>
          <w:p w:rsidR="001936C5" w:rsidRDefault="001936C5" w:rsidP="001936C5">
            <w:pPr>
              <w:spacing w:after="0" w:line="240" w:lineRule="auto"/>
              <w:rPr>
                <w:b/>
              </w:rPr>
            </w:pPr>
            <w:r>
              <w:rPr>
                <w:b/>
              </w:rPr>
              <w:t>ESPACIO CURRICULAR</w:t>
            </w:r>
          </w:p>
        </w:tc>
        <w:tc>
          <w:tcPr>
            <w:tcW w:w="6173" w:type="dxa"/>
            <w:vAlign w:val="center"/>
          </w:tcPr>
          <w:p w:rsidR="001936C5" w:rsidRDefault="001936C5" w:rsidP="001936C5">
            <w:pPr>
              <w:spacing w:after="0" w:line="240" w:lineRule="auto"/>
              <w:rPr>
                <w:b/>
              </w:rPr>
            </w:pPr>
            <w:r w:rsidRPr="00546EFD">
              <w:rPr>
                <w:b/>
                <w:sz w:val="28"/>
              </w:rPr>
              <w:t>ARMONÍA III</w:t>
            </w:r>
          </w:p>
        </w:tc>
      </w:tr>
      <w:tr w:rsidR="001936C5" w:rsidTr="006071CE">
        <w:trPr>
          <w:trHeight w:val="420"/>
        </w:trPr>
        <w:tc>
          <w:tcPr>
            <w:tcW w:w="2547" w:type="dxa"/>
            <w:vAlign w:val="center"/>
          </w:tcPr>
          <w:p w:rsidR="001936C5" w:rsidRDefault="001936C5" w:rsidP="001936C5">
            <w:pPr>
              <w:spacing w:after="0" w:line="240" w:lineRule="auto"/>
            </w:pPr>
            <w:r>
              <w:t>Ciclo o Nivel / Plan</w:t>
            </w:r>
          </w:p>
        </w:tc>
        <w:tc>
          <w:tcPr>
            <w:tcW w:w="6173" w:type="dxa"/>
            <w:vAlign w:val="center"/>
          </w:tcPr>
          <w:p w:rsidR="001936C5" w:rsidRDefault="001936C5" w:rsidP="001936C5">
            <w:pPr>
              <w:spacing w:after="0" w:line="240" w:lineRule="auto"/>
            </w:pPr>
            <w:r w:rsidRPr="001936C5">
              <w:t>Superior / (Profesorados y Tecnicat</w:t>
            </w:r>
            <w:bookmarkStart w:id="0" w:name="_GoBack"/>
            <w:bookmarkEnd w:id="0"/>
            <w:r w:rsidRPr="001936C5">
              <w:t>uras)</w:t>
            </w:r>
          </w:p>
        </w:tc>
      </w:tr>
      <w:tr w:rsidR="001936C5" w:rsidTr="006071CE">
        <w:trPr>
          <w:trHeight w:val="1687"/>
        </w:trPr>
        <w:tc>
          <w:tcPr>
            <w:tcW w:w="2547" w:type="dxa"/>
            <w:vAlign w:val="center"/>
          </w:tcPr>
          <w:p w:rsidR="001936C5" w:rsidRDefault="001936C5" w:rsidP="001936C5">
            <w:pPr>
              <w:spacing w:after="0" w:line="240" w:lineRule="auto"/>
            </w:pPr>
            <w:r>
              <w:t>Perfil docente</w:t>
            </w:r>
          </w:p>
        </w:tc>
        <w:tc>
          <w:tcPr>
            <w:tcW w:w="6173" w:type="dxa"/>
            <w:vAlign w:val="center"/>
          </w:tcPr>
          <w:p w:rsidR="001936C5" w:rsidRDefault="001936C5" w:rsidP="001936C5">
            <w:pPr>
              <w:spacing w:after="0" w:line="240" w:lineRule="auto"/>
              <w:rPr>
                <w:b/>
                <w:bCs/>
              </w:rPr>
            </w:pPr>
            <w:r w:rsidRPr="00A07433">
              <w:rPr>
                <w:b/>
                <w:bCs/>
              </w:rPr>
              <w:t>-</w:t>
            </w:r>
            <w:r>
              <w:rPr>
                <w:b/>
                <w:bCs/>
              </w:rPr>
              <w:t xml:space="preserve"> </w:t>
            </w:r>
            <w:r w:rsidRPr="00A07433">
              <w:rPr>
                <w:b/>
                <w:bCs/>
              </w:rPr>
              <w:t xml:space="preserve">Profesor/a superior de música con especialidad en composición </w:t>
            </w:r>
          </w:p>
          <w:p w:rsidR="001936C5" w:rsidRDefault="001936C5" w:rsidP="001936C5">
            <w:pPr>
              <w:spacing w:after="0" w:line="240" w:lineRule="auto"/>
              <w:rPr>
                <w:b/>
                <w:bCs/>
              </w:rPr>
            </w:pPr>
            <w:r>
              <w:rPr>
                <w:b/>
                <w:bCs/>
              </w:rPr>
              <w:t xml:space="preserve">- </w:t>
            </w:r>
            <w:r w:rsidRPr="00A07433">
              <w:rPr>
                <w:b/>
                <w:bCs/>
              </w:rPr>
              <w:t>Profesor superior de música con especialidad en dirección orquestal</w:t>
            </w:r>
          </w:p>
          <w:p w:rsidR="001936C5" w:rsidRPr="00A07433" w:rsidRDefault="001936C5" w:rsidP="001936C5">
            <w:pPr>
              <w:spacing w:after="0" w:line="240" w:lineRule="auto"/>
            </w:pPr>
            <w:r>
              <w:rPr>
                <w:b/>
                <w:bCs/>
              </w:rPr>
              <w:t xml:space="preserve">- </w:t>
            </w:r>
            <w:r w:rsidRPr="00A07433">
              <w:rPr>
                <w:b/>
                <w:bCs/>
              </w:rPr>
              <w:t>Profesor en armonía, contrapunto y morfología</w:t>
            </w:r>
            <w:r>
              <w:rPr>
                <w:b/>
                <w:bCs/>
              </w:rPr>
              <w:t xml:space="preserve"> musical</w:t>
            </w:r>
            <w:r>
              <w:t xml:space="preserve"> </w:t>
            </w:r>
            <w:r>
              <w:br/>
              <w:t>(Título otorgado por instituciones universitarias y no universitarias, estatales o privadas, reconocidas por el estado nacional)</w:t>
            </w:r>
          </w:p>
          <w:p w:rsidR="001936C5" w:rsidRDefault="001936C5" w:rsidP="001936C5">
            <w:pPr>
              <w:spacing w:after="0" w:line="240" w:lineRule="auto"/>
            </w:pPr>
            <w:r>
              <w:t>En su defecto:</w:t>
            </w:r>
          </w:p>
          <w:p w:rsidR="001936C5" w:rsidRPr="00F92024" w:rsidRDefault="001936C5" w:rsidP="001936C5">
            <w:pPr>
              <w:spacing w:after="0" w:line="240" w:lineRule="auto"/>
              <w:rPr>
                <w:b/>
                <w:bCs/>
              </w:rPr>
            </w:pPr>
            <w:r w:rsidRPr="00F92024">
              <w:rPr>
                <w:b/>
                <w:bCs/>
              </w:rPr>
              <w:t>-</w:t>
            </w:r>
            <w:r>
              <w:rPr>
                <w:b/>
                <w:bCs/>
              </w:rPr>
              <w:t xml:space="preserve"> </w:t>
            </w:r>
            <w:r w:rsidRPr="00F92024">
              <w:rPr>
                <w:b/>
                <w:bCs/>
              </w:rPr>
              <w:t xml:space="preserve">Profesor/a o Licenciado/a en música de la especialidad de composición o dirección de orquesta </w:t>
            </w:r>
            <w:r w:rsidRPr="00A07433">
              <w:t xml:space="preserve">(o afín) </w:t>
            </w:r>
          </w:p>
          <w:p w:rsidR="001936C5" w:rsidRDefault="001936C5" w:rsidP="001936C5">
            <w:pPr>
              <w:spacing w:after="0" w:line="240" w:lineRule="auto"/>
            </w:pPr>
            <w:r>
              <w:t>(con antecedentes artísticos destacados y relevantes en la asignatura)</w:t>
            </w:r>
          </w:p>
          <w:p w:rsidR="001936C5" w:rsidRDefault="001936C5" w:rsidP="001936C5">
            <w:pPr>
              <w:spacing w:after="0" w:line="240" w:lineRule="auto"/>
            </w:pPr>
            <w:r>
              <w:t xml:space="preserve">O bien: </w:t>
            </w:r>
          </w:p>
          <w:p w:rsidR="001936C5" w:rsidRPr="00F92024" w:rsidRDefault="001936C5" w:rsidP="001936C5">
            <w:pPr>
              <w:spacing w:after="0" w:line="240" w:lineRule="auto"/>
            </w:pPr>
            <w:r w:rsidRPr="00F92024">
              <w:rPr>
                <w:b/>
                <w:bCs/>
              </w:rPr>
              <w:t>-</w:t>
            </w:r>
            <w:r>
              <w:rPr>
                <w:b/>
                <w:bCs/>
              </w:rPr>
              <w:t xml:space="preserve"> </w:t>
            </w:r>
            <w:r w:rsidRPr="00F92024">
              <w:rPr>
                <w:b/>
                <w:bCs/>
              </w:rPr>
              <w:t>Profesor</w:t>
            </w:r>
            <w:r>
              <w:rPr>
                <w:b/>
                <w:bCs/>
              </w:rPr>
              <w:t>/a, profesional o experto/a con estudios realizados en el país o en el exterior</w:t>
            </w:r>
            <w:r>
              <w:t xml:space="preserve"> (con antecedentes artísticos destacados y relevantes en la asignatura)</w:t>
            </w:r>
          </w:p>
          <w:p w:rsidR="001936C5" w:rsidRDefault="001936C5" w:rsidP="006071CE">
            <w:pPr>
              <w:pStyle w:val="NormalWeb"/>
              <w:spacing w:before="0" w:beforeAutospacing="0" w:after="0" w:afterAutospacing="0"/>
            </w:pPr>
            <w:r>
              <w:rPr>
                <w:rFonts w:ascii="Calibri" w:hAnsi="Calibri" w:cs="Calibri"/>
                <w:color w:val="000000"/>
                <w:sz w:val="22"/>
                <w:szCs w:val="22"/>
              </w:rPr>
              <w:t>(Títulos otorgado por Instituciones regidas por Ley 24.521) </w:t>
            </w:r>
          </w:p>
        </w:tc>
      </w:tr>
      <w:tr w:rsidR="001936C5" w:rsidTr="006071CE">
        <w:trPr>
          <w:trHeight w:val="632"/>
        </w:trPr>
        <w:tc>
          <w:tcPr>
            <w:tcW w:w="2547" w:type="dxa"/>
            <w:vAlign w:val="center"/>
          </w:tcPr>
          <w:p w:rsidR="001936C5" w:rsidRDefault="001936C5" w:rsidP="001936C5">
            <w:pPr>
              <w:spacing w:after="0" w:line="240" w:lineRule="auto"/>
            </w:pPr>
            <w:r>
              <w:t>Cantidad máxima de antecedentes</w:t>
            </w:r>
          </w:p>
        </w:tc>
        <w:tc>
          <w:tcPr>
            <w:tcW w:w="6173" w:type="dxa"/>
            <w:vAlign w:val="center"/>
          </w:tcPr>
          <w:p w:rsidR="001936C5" w:rsidRDefault="001936C5" w:rsidP="001936C5">
            <w:pPr>
              <w:spacing w:after="0" w:line="240" w:lineRule="auto"/>
            </w:pPr>
            <w:r w:rsidRPr="001936C5">
              <w:rPr>
                <w:b/>
                <w:bCs/>
              </w:rPr>
              <w:t>15 (quince)</w:t>
            </w:r>
            <w:r w:rsidRPr="001936C5">
              <w:t xml:space="preserve"> </w:t>
            </w:r>
            <w:r>
              <w:t>antecedentes acordes al objeto de búsqueda según grilla adjunta.</w:t>
            </w:r>
          </w:p>
        </w:tc>
      </w:tr>
      <w:tr w:rsidR="001936C5" w:rsidTr="006071CE">
        <w:trPr>
          <w:trHeight w:val="899"/>
        </w:trPr>
        <w:tc>
          <w:tcPr>
            <w:tcW w:w="2547" w:type="dxa"/>
            <w:vAlign w:val="center"/>
          </w:tcPr>
          <w:p w:rsidR="001936C5" w:rsidRDefault="001936C5" w:rsidP="001936C5">
            <w:pPr>
              <w:spacing w:after="0" w:line="240" w:lineRule="auto"/>
            </w:pPr>
            <w:r>
              <w:t>Proyecto Pedagógico</w:t>
            </w:r>
          </w:p>
        </w:tc>
        <w:tc>
          <w:tcPr>
            <w:tcW w:w="6173" w:type="dxa"/>
            <w:vAlign w:val="center"/>
          </w:tcPr>
          <w:p w:rsidR="001936C5" w:rsidRDefault="001936C5" w:rsidP="001936C5">
            <w:pPr>
              <w:spacing w:after="0" w:line="240" w:lineRule="auto"/>
            </w:pPr>
            <w:r>
              <w:t xml:space="preserve">Se requiere proyecto pedagógico original acorde a los objetivos generales y contenidos mínimos de los planes de Estudio vigentes </w:t>
            </w:r>
            <w:r>
              <w:rPr>
                <w:b/>
              </w:rPr>
              <w:t xml:space="preserve">(*). </w:t>
            </w:r>
            <w:r>
              <w:t>Puntuación máxima: 20 (veinte) puntos.</w:t>
            </w:r>
          </w:p>
        </w:tc>
      </w:tr>
      <w:tr w:rsidR="001936C5" w:rsidTr="006071CE">
        <w:trPr>
          <w:trHeight w:val="1691"/>
        </w:trPr>
        <w:tc>
          <w:tcPr>
            <w:tcW w:w="2547" w:type="dxa"/>
            <w:vAlign w:val="center"/>
          </w:tcPr>
          <w:p w:rsidR="001936C5" w:rsidRDefault="001936C5" w:rsidP="001936C5">
            <w:pPr>
              <w:spacing w:after="0" w:line="240" w:lineRule="auto"/>
            </w:pPr>
            <w:r>
              <w:t xml:space="preserve">Modalidad de coloquio </w:t>
            </w:r>
          </w:p>
        </w:tc>
        <w:tc>
          <w:tcPr>
            <w:tcW w:w="6173" w:type="dxa"/>
            <w:vAlign w:val="center"/>
          </w:tcPr>
          <w:p w:rsidR="001936C5" w:rsidRPr="00546EFD" w:rsidRDefault="001936C5" w:rsidP="001936C5">
            <w:pPr>
              <w:spacing w:after="0" w:line="240" w:lineRule="auto"/>
            </w:pPr>
            <w:r>
              <w:t xml:space="preserve">La </w:t>
            </w:r>
            <w:r w:rsidRPr="00546EFD">
              <w:t>modalidad del coloquio podrá ser presencial o virtual de acuerdo a la situación sanitaria del momento. Se informará oportunamente por mail a cada postulante.</w:t>
            </w:r>
          </w:p>
          <w:p w:rsidR="001936C5" w:rsidRPr="00546EFD" w:rsidRDefault="001936C5" w:rsidP="001936C5">
            <w:pPr>
              <w:spacing w:after="0" w:line="240" w:lineRule="auto"/>
            </w:pPr>
            <w:r w:rsidRPr="00546EFD">
              <w:t>El coloquio puede incluir la defensa del proyecto, entrevista, clase con o sin estudiante y ensayo, dependiendo la modalidad.</w:t>
            </w:r>
          </w:p>
          <w:p w:rsidR="001936C5" w:rsidRDefault="001936C5" w:rsidP="001936C5">
            <w:pPr>
              <w:spacing w:after="0" w:line="240" w:lineRule="auto"/>
            </w:pPr>
            <w:r w:rsidRPr="00546EFD">
              <w:t>Puntuación máxima: 30 (treinta) puntos.</w:t>
            </w:r>
          </w:p>
        </w:tc>
      </w:tr>
      <w:tr w:rsidR="001936C5" w:rsidTr="006071CE">
        <w:trPr>
          <w:trHeight w:val="1120"/>
        </w:trPr>
        <w:tc>
          <w:tcPr>
            <w:tcW w:w="2547" w:type="dxa"/>
            <w:vAlign w:val="center"/>
          </w:tcPr>
          <w:p w:rsidR="001936C5" w:rsidRDefault="001936C5" w:rsidP="001936C5">
            <w:pPr>
              <w:spacing w:after="0" w:line="240" w:lineRule="auto"/>
            </w:pPr>
            <w:r>
              <w:t>Comisión Evaluadora</w:t>
            </w:r>
          </w:p>
        </w:tc>
        <w:tc>
          <w:tcPr>
            <w:tcW w:w="6173" w:type="dxa"/>
            <w:vAlign w:val="center"/>
          </w:tcPr>
          <w:p w:rsidR="001936C5" w:rsidRDefault="001936C5" w:rsidP="001936C5">
            <w:pPr>
              <w:spacing w:after="0" w:line="240" w:lineRule="auto"/>
            </w:pPr>
            <w:r>
              <w:t>PROFESORES:</w:t>
            </w:r>
          </w:p>
          <w:p w:rsidR="001936C5" w:rsidRPr="001936C5" w:rsidRDefault="001936C5" w:rsidP="00546EFD">
            <w:pPr>
              <w:spacing w:after="0" w:line="240" w:lineRule="auto"/>
            </w:pPr>
            <w:r>
              <w:t xml:space="preserve">GUILLERMO ESPEL - SEBASTIÁN GANGI </w:t>
            </w:r>
            <w:r w:rsidR="00546EFD">
              <w:t>-</w:t>
            </w:r>
            <w:r>
              <w:t xml:space="preserve"> GUILLERMO CARRO (ext</w:t>
            </w:r>
            <w:r w:rsidR="00546EFD">
              <w:t>.</w:t>
            </w:r>
            <w:r>
              <w:t>)</w:t>
            </w:r>
          </w:p>
        </w:tc>
      </w:tr>
      <w:tr w:rsidR="001936C5" w:rsidTr="006071CE">
        <w:trPr>
          <w:trHeight w:val="1687"/>
        </w:trPr>
        <w:tc>
          <w:tcPr>
            <w:tcW w:w="2547" w:type="dxa"/>
            <w:vAlign w:val="center"/>
          </w:tcPr>
          <w:p w:rsidR="001936C5" w:rsidRDefault="001936C5" w:rsidP="001936C5">
            <w:pPr>
              <w:spacing w:after="0" w:line="240" w:lineRule="auto"/>
            </w:pPr>
            <w:r>
              <w:t>Presentación de Carpetas</w:t>
            </w:r>
          </w:p>
        </w:tc>
        <w:tc>
          <w:tcPr>
            <w:tcW w:w="6173" w:type="dxa"/>
            <w:vAlign w:val="center"/>
          </w:tcPr>
          <w:p w:rsidR="001936C5" w:rsidRDefault="001936C5" w:rsidP="001936C5">
            <w:pPr>
              <w:spacing w:after="0" w:line="240" w:lineRule="auto"/>
              <w:rPr>
                <w:b/>
              </w:rPr>
            </w:pPr>
            <w:r>
              <w:rPr>
                <w:b/>
              </w:rPr>
              <w:t>Fecha:</w:t>
            </w:r>
            <w:r w:rsidR="00546EFD">
              <w:rPr>
                <w:b/>
              </w:rPr>
              <w:t xml:space="preserve"> </w:t>
            </w:r>
            <w:r w:rsidR="00036DDA">
              <w:rPr>
                <w:b/>
              </w:rPr>
              <w:t xml:space="preserve"> hasta el  31</w:t>
            </w:r>
            <w:r w:rsidR="00546EFD">
              <w:rPr>
                <w:b/>
              </w:rPr>
              <w:t xml:space="preserve">/03 </w:t>
            </w:r>
            <w:r>
              <w:rPr>
                <w:b/>
              </w:rPr>
              <w:t>a las 18 hs.</w:t>
            </w:r>
          </w:p>
          <w:p w:rsidR="001936C5" w:rsidRDefault="001936C5" w:rsidP="001936C5">
            <w:pPr>
              <w:spacing w:after="0" w:line="240" w:lineRule="auto"/>
            </w:pPr>
            <w:r>
              <w:t>De acuerdo al Instructivo general, el envío de toda la documentación en formato digital debe ser al siguiente mail:</w:t>
            </w:r>
          </w:p>
          <w:p w:rsidR="001936C5" w:rsidRDefault="00210463" w:rsidP="001936C5">
            <w:pPr>
              <w:spacing w:after="0" w:line="240" w:lineRule="auto"/>
            </w:pPr>
            <w:hyperlink r:id="rId8" w:history="1">
              <w:r w:rsidR="00546EFD" w:rsidRPr="00A9506D">
                <w:rPr>
                  <w:rStyle w:val="Hipervnculo"/>
                  <w:b/>
                  <w:bCs/>
                </w:rPr>
                <w:t>elementostecnicossuperior@gmail.com</w:t>
              </w:r>
            </w:hyperlink>
            <w:r w:rsidR="00546EFD">
              <w:rPr>
                <w:b/>
                <w:bCs/>
              </w:rPr>
              <w:t xml:space="preserve"> </w:t>
            </w:r>
            <w:r w:rsidR="001936C5">
              <w:t xml:space="preserve"> </w:t>
            </w:r>
          </w:p>
          <w:p w:rsidR="001936C5" w:rsidRDefault="001936C5" w:rsidP="001936C5">
            <w:pPr>
              <w:spacing w:after="0" w:line="240" w:lineRule="auto"/>
            </w:pPr>
            <w:r>
              <w:t>Cada postulante recibirá el acuse de recibo de la documentación.</w:t>
            </w:r>
          </w:p>
        </w:tc>
      </w:tr>
      <w:tr w:rsidR="001936C5" w:rsidTr="006071CE">
        <w:trPr>
          <w:trHeight w:val="423"/>
        </w:trPr>
        <w:tc>
          <w:tcPr>
            <w:tcW w:w="2547" w:type="dxa"/>
            <w:vAlign w:val="center"/>
          </w:tcPr>
          <w:p w:rsidR="001936C5" w:rsidRDefault="001936C5" w:rsidP="001936C5">
            <w:pPr>
              <w:spacing w:after="0" w:line="240" w:lineRule="auto"/>
            </w:pPr>
            <w:r>
              <w:t>Fecha de Coloquio</w:t>
            </w:r>
          </w:p>
        </w:tc>
        <w:tc>
          <w:tcPr>
            <w:tcW w:w="6173" w:type="dxa"/>
            <w:vAlign w:val="center"/>
          </w:tcPr>
          <w:p w:rsidR="001936C5" w:rsidRDefault="001936C5" w:rsidP="001936C5">
            <w:pPr>
              <w:spacing w:after="0" w:line="240" w:lineRule="auto"/>
            </w:pPr>
            <w:r>
              <w:t>Será comunicado oportunamente por mail.</w:t>
            </w:r>
          </w:p>
        </w:tc>
      </w:tr>
    </w:tbl>
    <w:p w:rsidR="00A61C41" w:rsidRDefault="00C20D43">
      <w:pPr>
        <w:spacing w:after="0"/>
      </w:pPr>
      <w:r>
        <w:rPr>
          <w:u w:val="single"/>
        </w:rPr>
        <w:lastRenderedPageBreak/>
        <w:t>Aclaraciones</w:t>
      </w:r>
      <w:r>
        <w:t xml:space="preserve">: </w:t>
      </w:r>
    </w:p>
    <w:p w:rsidR="00A61C41" w:rsidRDefault="00C20D43">
      <w:pPr>
        <w:numPr>
          <w:ilvl w:val="0"/>
          <w:numId w:val="1"/>
        </w:numPr>
        <w:pBdr>
          <w:top w:val="nil"/>
          <w:left w:val="nil"/>
          <w:bottom w:val="nil"/>
          <w:right w:val="nil"/>
          <w:between w:val="nil"/>
        </w:pBdr>
        <w:spacing w:after="0" w:line="240" w:lineRule="auto"/>
        <w:ind w:left="284" w:hanging="284"/>
      </w:pPr>
      <w:r>
        <w:rPr>
          <w:color w:val="000000"/>
        </w:rPr>
        <w:t>Las coberturas interinas quedan sujetas a la sustanciación del Concurso por Decreto 1151/GCBA/2003</w:t>
      </w:r>
    </w:p>
    <w:p w:rsidR="00A61C41" w:rsidRDefault="00C20D43">
      <w:pPr>
        <w:numPr>
          <w:ilvl w:val="0"/>
          <w:numId w:val="1"/>
        </w:numPr>
        <w:pBdr>
          <w:top w:val="nil"/>
          <w:left w:val="nil"/>
          <w:bottom w:val="nil"/>
          <w:right w:val="nil"/>
          <w:between w:val="nil"/>
        </w:pBdr>
        <w:spacing w:after="6" w:line="240" w:lineRule="auto"/>
        <w:ind w:left="284" w:hanging="284"/>
        <w:jc w:val="both"/>
      </w:pPr>
      <w:r>
        <w:rPr>
          <w:color w:val="000000"/>
        </w:rPr>
        <w:t xml:space="preserve">El Orden de Mérito alcanzado para cada incumbencia tendrá </w:t>
      </w:r>
      <w:r>
        <w:rPr>
          <w:b/>
          <w:color w:val="000000"/>
        </w:rPr>
        <w:t>vigencia y validez máxima de 3 (tres) años</w:t>
      </w:r>
      <w:r>
        <w:rPr>
          <w:color w:val="000000"/>
        </w:rPr>
        <w:t xml:space="preserve"> según lo establece la DI-2018-387-DGEART en su Anexo I.</w:t>
      </w:r>
    </w:p>
    <w:p w:rsidR="00A61C41" w:rsidRDefault="00A61C41">
      <w:pPr>
        <w:spacing w:after="6" w:line="240" w:lineRule="auto"/>
        <w:jc w:val="both"/>
      </w:pPr>
    </w:p>
    <w:p w:rsidR="00A61C41" w:rsidRPr="006071CE" w:rsidRDefault="00A61C41">
      <w:pPr>
        <w:spacing w:after="6" w:line="240" w:lineRule="auto"/>
        <w:jc w:val="both"/>
        <w:rPr>
          <w:sz w:val="16"/>
        </w:rPr>
      </w:pPr>
    </w:p>
    <w:p w:rsidR="00A61C41" w:rsidRDefault="00C20D43">
      <w:pPr>
        <w:spacing w:after="6" w:line="240" w:lineRule="auto"/>
        <w:jc w:val="both"/>
      </w:pPr>
      <w:r>
        <w:rPr>
          <w:b/>
        </w:rPr>
        <w:t xml:space="preserve">(*) </w:t>
      </w:r>
      <w:r>
        <w:t>Extracto del Plan de Estudios.</w:t>
      </w:r>
    </w:p>
    <w:p w:rsidR="00A61C41" w:rsidRDefault="00A61C41">
      <w:pPr>
        <w:spacing w:after="6" w:line="240" w:lineRule="auto"/>
        <w:jc w:val="both"/>
      </w:pPr>
    </w:p>
    <w:p w:rsidR="006071CE" w:rsidRPr="00D31B57" w:rsidRDefault="006071CE" w:rsidP="006071CE">
      <w:pPr>
        <w:spacing w:after="0"/>
      </w:pPr>
      <w:bookmarkStart w:id="1" w:name="_heading=h.gjdgxs" w:colFirst="0" w:colLast="0"/>
      <w:bookmarkEnd w:id="1"/>
      <w:r w:rsidRPr="00D31B57">
        <w:t xml:space="preserve">Carga horaria: 3 horas cátedra, semanal. </w:t>
      </w:r>
    </w:p>
    <w:p w:rsidR="006071CE" w:rsidRDefault="006071CE" w:rsidP="006071CE">
      <w:pPr>
        <w:spacing w:after="0"/>
      </w:pPr>
      <w:r w:rsidRPr="00D31B57">
        <w:t>Modalidad: Asignatura – Anual.</w:t>
      </w:r>
    </w:p>
    <w:p w:rsidR="006071CE" w:rsidRDefault="006071CE" w:rsidP="006071CE">
      <w:pPr>
        <w:spacing w:after="0"/>
      </w:pPr>
      <w:r>
        <w:t>Campo de la Formación Específica</w:t>
      </w:r>
    </w:p>
    <w:p w:rsidR="006071CE" w:rsidRDefault="006071CE" w:rsidP="006071CE">
      <w:pPr>
        <w:spacing w:after="0"/>
      </w:pPr>
      <w:r>
        <w:t xml:space="preserve">Bloque 1: Técnicas y Procedimientos de Composición y Análisis. </w:t>
      </w:r>
    </w:p>
    <w:p w:rsidR="006071CE" w:rsidRPr="00D31B57" w:rsidRDefault="006071CE" w:rsidP="006071CE">
      <w:pPr>
        <w:spacing w:after="0" w:line="240" w:lineRule="auto"/>
        <w:rPr>
          <w:rFonts w:asciiTheme="minorHAnsi" w:hAnsiTheme="minorHAnsi" w:cstheme="minorHAnsi"/>
          <w:b/>
          <w:bCs/>
          <w:iCs/>
          <w:color w:val="000000"/>
        </w:rPr>
      </w:pPr>
    </w:p>
    <w:p w:rsidR="006071CE" w:rsidRPr="00D31B57" w:rsidRDefault="006071CE" w:rsidP="006071CE">
      <w:pPr>
        <w:spacing w:after="0" w:line="240" w:lineRule="auto"/>
        <w:rPr>
          <w:rFonts w:asciiTheme="minorHAnsi" w:hAnsiTheme="minorHAnsi" w:cstheme="minorHAnsi"/>
          <w:b/>
          <w:bCs/>
          <w:iCs/>
          <w:color w:val="000000"/>
        </w:rPr>
      </w:pPr>
      <w:r w:rsidRPr="00D31B57">
        <w:rPr>
          <w:rFonts w:asciiTheme="minorHAnsi" w:hAnsiTheme="minorHAnsi" w:cstheme="minorHAnsi"/>
          <w:b/>
          <w:bCs/>
          <w:iCs/>
          <w:color w:val="000000"/>
        </w:rPr>
        <w:t>ARMONIA</w:t>
      </w:r>
    </w:p>
    <w:p w:rsidR="006071CE" w:rsidRPr="00D31B57" w:rsidRDefault="006071CE" w:rsidP="006071CE">
      <w:pPr>
        <w:spacing w:after="0" w:line="240" w:lineRule="auto"/>
        <w:jc w:val="both"/>
        <w:rPr>
          <w:rFonts w:asciiTheme="minorHAnsi" w:hAnsiTheme="minorHAnsi" w:cstheme="minorHAnsi"/>
          <w:b/>
          <w:bCs/>
          <w:iCs/>
          <w:color w:val="000000"/>
        </w:rPr>
      </w:pPr>
      <w:r w:rsidRPr="00D31B57">
        <w:rPr>
          <w:rFonts w:asciiTheme="minorHAnsi" w:hAnsiTheme="minorHAnsi" w:cstheme="minorHAnsi"/>
          <w:b/>
          <w:bCs/>
          <w:iCs/>
          <w:color w:val="000000"/>
        </w:rPr>
        <w:t xml:space="preserve">Fundamentación </w:t>
      </w:r>
    </w:p>
    <w:p w:rsidR="006071CE" w:rsidRPr="00D31B57" w:rsidRDefault="006071CE" w:rsidP="006071CE">
      <w:pPr>
        <w:autoSpaceDE w:val="0"/>
        <w:autoSpaceDN w:val="0"/>
        <w:adjustRightInd w:val="0"/>
        <w:spacing w:after="0" w:line="240" w:lineRule="auto"/>
        <w:jc w:val="both"/>
        <w:rPr>
          <w:rFonts w:asciiTheme="minorHAnsi" w:hAnsiTheme="minorHAnsi" w:cstheme="minorHAnsi"/>
        </w:rPr>
      </w:pPr>
      <w:r w:rsidRPr="00D31B57">
        <w:rPr>
          <w:rFonts w:asciiTheme="minorHAnsi" w:hAnsiTheme="minorHAnsi" w:cstheme="minorHAnsi"/>
        </w:rPr>
        <w:t>Esta asignatura, dividida en cuatro niveles, propicia la adquisición de saberes vinculados a las operaciones analíticas, interpretativas, de comprensión de los materiales y, a su vez, modos de organización particulares de la música, incluyendo capacidades cognitivas y perceptuales.</w:t>
      </w:r>
    </w:p>
    <w:p w:rsidR="006071CE" w:rsidRPr="00D31B57" w:rsidRDefault="006071CE" w:rsidP="006071CE">
      <w:pPr>
        <w:autoSpaceDE w:val="0"/>
        <w:autoSpaceDN w:val="0"/>
        <w:adjustRightInd w:val="0"/>
        <w:spacing w:after="0" w:line="240" w:lineRule="auto"/>
        <w:jc w:val="both"/>
        <w:rPr>
          <w:rFonts w:asciiTheme="minorHAnsi" w:hAnsiTheme="minorHAnsi" w:cstheme="minorHAnsi"/>
        </w:rPr>
      </w:pPr>
      <w:r w:rsidRPr="00D31B57">
        <w:rPr>
          <w:rFonts w:asciiTheme="minorHAnsi" w:hAnsiTheme="minorHAnsi" w:cstheme="minorHAnsi"/>
        </w:rPr>
        <w:t>Estos modos de organización y construcción de los discursos musicales desde las perspectivas de la audición, el análisis y la creación, permiten a los futuros docentes operar con los atributos de los lenguajes musicales y sonoros, comprender las formas de construcción de las expresiones musicales propias de diversos contextos, estéticas y géneros, desarrollar una escucha atenta y construir y reconstruir expresiones musicales.</w:t>
      </w:r>
    </w:p>
    <w:p w:rsidR="006071CE" w:rsidRDefault="006071CE" w:rsidP="006071CE">
      <w:pPr>
        <w:spacing w:after="0"/>
      </w:pPr>
    </w:p>
    <w:p w:rsidR="006071CE" w:rsidRPr="00D31B57" w:rsidRDefault="006071CE" w:rsidP="006071CE">
      <w:pPr>
        <w:spacing w:after="0"/>
        <w:rPr>
          <w:b/>
          <w:u w:val="single"/>
        </w:rPr>
      </w:pPr>
      <w:r>
        <w:rPr>
          <w:b/>
          <w:u w:val="single"/>
        </w:rPr>
        <w:t>Específico de esta convocatoria:</w:t>
      </w:r>
    </w:p>
    <w:p w:rsidR="006071CE" w:rsidRDefault="006071CE" w:rsidP="006071CE">
      <w:pPr>
        <w:spacing w:after="0" w:line="240" w:lineRule="auto"/>
        <w:jc w:val="both"/>
        <w:rPr>
          <w:rFonts w:asciiTheme="minorHAnsi" w:hAnsiTheme="minorHAnsi" w:cstheme="minorHAnsi"/>
          <w:b/>
        </w:rPr>
      </w:pPr>
      <w:r w:rsidRPr="00D31B57">
        <w:rPr>
          <w:rFonts w:asciiTheme="minorHAnsi" w:hAnsiTheme="minorHAnsi" w:cstheme="minorHAnsi"/>
          <w:b/>
        </w:rPr>
        <w:t>ARMONÍA II</w:t>
      </w:r>
      <w:r>
        <w:rPr>
          <w:rFonts w:asciiTheme="minorHAnsi" w:hAnsiTheme="minorHAnsi" w:cstheme="minorHAnsi"/>
          <w:b/>
        </w:rPr>
        <w:t>I</w:t>
      </w:r>
    </w:p>
    <w:p w:rsidR="006071CE" w:rsidRPr="006071CE" w:rsidRDefault="006071CE" w:rsidP="006071CE">
      <w:pPr>
        <w:spacing w:after="0" w:line="240" w:lineRule="auto"/>
        <w:jc w:val="both"/>
        <w:rPr>
          <w:rFonts w:asciiTheme="minorHAnsi" w:hAnsiTheme="minorHAnsi" w:cstheme="minorHAnsi"/>
          <w:b/>
        </w:rPr>
      </w:pPr>
      <w:r w:rsidRPr="006071CE">
        <w:rPr>
          <w:rFonts w:asciiTheme="minorHAnsi" w:hAnsiTheme="minorHAnsi" w:cstheme="minorHAnsi"/>
          <w:b/>
          <w:bCs/>
          <w:iCs/>
        </w:rPr>
        <w:t>Objetivos</w:t>
      </w:r>
    </w:p>
    <w:p w:rsidR="006071CE" w:rsidRPr="006071CE" w:rsidRDefault="006071CE" w:rsidP="006071CE">
      <w:pPr>
        <w:pStyle w:val="Prrafodelista"/>
        <w:numPr>
          <w:ilvl w:val="0"/>
          <w:numId w:val="2"/>
        </w:numPr>
        <w:suppressAutoHyphens/>
        <w:spacing w:after="0" w:line="240" w:lineRule="auto"/>
        <w:ind w:left="284" w:hanging="284"/>
        <w:jc w:val="both"/>
        <w:rPr>
          <w:rFonts w:asciiTheme="minorHAnsi" w:hAnsiTheme="minorHAnsi" w:cstheme="minorHAnsi"/>
        </w:rPr>
      </w:pPr>
      <w:r w:rsidRPr="006071CE">
        <w:rPr>
          <w:rFonts w:asciiTheme="minorHAnsi" w:hAnsiTheme="minorHAnsi" w:cstheme="minorHAnsi"/>
        </w:rPr>
        <w:t>Identificar, caracterizar y reconocer las técnicas y procedimientos armónicos desde fines del siglo XIX, desarrollando la multiplicidad de lenguajes, técnicas y procedimientos sonoros en su relación armónica con la música tonal de este período.</w:t>
      </w:r>
    </w:p>
    <w:p w:rsidR="006071CE" w:rsidRPr="006071CE" w:rsidRDefault="006071CE" w:rsidP="006071CE">
      <w:pPr>
        <w:pStyle w:val="Prrafodelista"/>
        <w:numPr>
          <w:ilvl w:val="0"/>
          <w:numId w:val="2"/>
        </w:numPr>
        <w:suppressAutoHyphens/>
        <w:spacing w:after="0" w:line="240" w:lineRule="auto"/>
        <w:ind w:left="284" w:hanging="284"/>
        <w:jc w:val="both"/>
        <w:rPr>
          <w:rFonts w:asciiTheme="minorHAnsi" w:hAnsiTheme="minorHAnsi" w:cstheme="minorHAnsi"/>
          <w:b/>
          <w:bCs/>
          <w:iCs/>
        </w:rPr>
      </w:pPr>
      <w:r w:rsidRPr="006071CE">
        <w:rPr>
          <w:rFonts w:asciiTheme="minorHAnsi" w:hAnsiTheme="minorHAnsi" w:cstheme="minorHAnsi"/>
        </w:rPr>
        <w:t xml:space="preserve">Reconocer las funciones armónicas perceptual y analíticamente propias de comienzos del siglo XX.  </w:t>
      </w:r>
    </w:p>
    <w:p w:rsidR="006071CE" w:rsidRPr="006071CE" w:rsidRDefault="006071CE" w:rsidP="006071CE">
      <w:pPr>
        <w:pStyle w:val="Prrafodelista"/>
        <w:numPr>
          <w:ilvl w:val="0"/>
          <w:numId w:val="2"/>
        </w:numPr>
        <w:suppressAutoHyphens/>
        <w:spacing w:after="0" w:line="240" w:lineRule="auto"/>
        <w:ind w:left="284" w:hanging="284"/>
        <w:jc w:val="both"/>
        <w:rPr>
          <w:rFonts w:asciiTheme="minorHAnsi" w:hAnsiTheme="minorHAnsi" w:cstheme="minorHAnsi"/>
          <w:b/>
          <w:bCs/>
          <w:iCs/>
        </w:rPr>
      </w:pPr>
      <w:r w:rsidRPr="006071CE">
        <w:rPr>
          <w:rFonts w:asciiTheme="minorHAnsi" w:hAnsiTheme="minorHAnsi" w:cstheme="minorHAnsi"/>
        </w:rPr>
        <w:t>Generar criterios y recursos para la construcción de discursos musicales vinculados a las estéticas contemporáneas, académicas y populares.</w:t>
      </w:r>
    </w:p>
    <w:p w:rsidR="006071CE" w:rsidRPr="006071CE" w:rsidRDefault="006071CE" w:rsidP="006071CE">
      <w:pPr>
        <w:spacing w:after="0" w:line="240" w:lineRule="auto"/>
        <w:jc w:val="both"/>
        <w:outlineLvl w:val="0"/>
        <w:rPr>
          <w:rFonts w:asciiTheme="minorHAnsi" w:hAnsiTheme="minorHAnsi" w:cstheme="minorHAnsi"/>
        </w:rPr>
      </w:pPr>
      <w:r w:rsidRPr="006071CE">
        <w:rPr>
          <w:rFonts w:asciiTheme="minorHAnsi" w:hAnsiTheme="minorHAnsi" w:cstheme="minorHAnsi"/>
          <w:b/>
        </w:rPr>
        <w:t>Ejes de contenido</w:t>
      </w:r>
    </w:p>
    <w:p w:rsidR="006071CE" w:rsidRPr="006071CE" w:rsidRDefault="006071CE" w:rsidP="006071CE">
      <w:pPr>
        <w:pStyle w:val="Textocomentario"/>
        <w:spacing w:after="0" w:line="240" w:lineRule="auto"/>
        <w:jc w:val="both"/>
        <w:rPr>
          <w:rFonts w:asciiTheme="minorHAnsi" w:hAnsiTheme="minorHAnsi" w:cstheme="minorHAnsi"/>
          <w:sz w:val="22"/>
          <w:szCs w:val="22"/>
        </w:rPr>
      </w:pPr>
      <w:r w:rsidRPr="006071CE">
        <w:rPr>
          <w:rFonts w:asciiTheme="minorHAnsi" w:hAnsiTheme="minorHAnsi" w:cstheme="minorHAnsi"/>
          <w:sz w:val="22"/>
          <w:szCs w:val="22"/>
        </w:rPr>
        <w:t xml:space="preserve">Criterios, recursos y estrategias de composición armónica de las estéticas musicales de fines del siglo XIX. Prolongaciones armónicas. Acordes de 9ª, 11ª y 13ª, su aplicación en el siglo XX. Alteraciones de los acordes. Notas agregadas. Armonía modal en el siglo XX. Grados característicos de los diferentes modos. Enlaces por terceras. Enlaces de acordes paralelos en el contexto impresionista. Escala por tonos. Modos pentatónicos. Acordes por cuartas y quintas, su uso en el nacionalismo. Neoclasicismo, acorde bimodal, superposición de acordes. Escalas sintéticas. Modos </w:t>
      </w:r>
      <w:proofErr w:type="spellStart"/>
      <w:r w:rsidRPr="006071CE">
        <w:rPr>
          <w:rFonts w:asciiTheme="minorHAnsi" w:hAnsiTheme="minorHAnsi" w:cstheme="minorHAnsi"/>
          <w:sz w:val="22"/>
          <w:szCs w:val="22"/>
        </w:rPr>
        <w:t>hexatónico</w:t>
      </w:r>
      <w:proofErr w:type="spellEnd"/>
      <w:r w:rsidRPr="006071CE">
        <w:rPr>
          <w:rFonts w:asciiTheme="minorHAnsi" w:hAnsiTheme="minorHAnsi" w:cstheme="minorHAnsi"/>
          <w:sz w:val="22"/>
          <w:szCs w:val="22"/>
        </w:rPr>
        <w:t xml:space="preserve"> y </w:t>
      </w:r>
      <w:proofErr w:type="spellStart"/>
      <w:r w:rsidRPr="006071CE">
        <w:rPr>
          <w:rFonts w:asciiTheme="minorHAnsi" w:hAnsiTheme="minorHAnsi" w:cstheme="minorHAnsi"/>
          <w:sz w:val="22"/>
          <w:szCs w:val="22"/>
        </w:rPr>
        <w:t>octatónico</w:t>
      </w:r>
      <w:proofErr w:type="spellEnd"/>
      <w:r w:rsidRPr="006071CE">
        <w:rPr>
          <w:rFonts w:asciiTheme="minorHAnsi" w:hAnsiTheme="minorHAnsi" w:cstheme="minorHAnsi"/>
          <w:sz w:val="22"/>
          <w:szCs w:val="22"/>
        </w:rPr>
        <w:t xml:space="preserve">. Nuevas formas de conducción: la yuxtaposición de acordes. Nuevos disposiciones </w:t>
      </w:r>
      <w:proofErr w:type="spellStart"/>
      <w:r w:rsidRPr="006071CE">
        <w:rPr>
          <w:rFonts w:asciiTheme="minorHAnsi" w:hAnsiTheme="minorHAnsi" w:cstheme="minorHAnsi"/>
          <w:sz w:val="22"/>
          <w:szCs w:val="22"/>
        </w:rPr>
        <w:t>acórdicas</w:t>
      </w:r>
      <w:proofErr w:type="spellEnd"/>
      <w:r w:rsidRPr="006071CE">
        <w:rPr>
          <w:rFonts w:asciiTheme="minorHAnsi" w:hAnsiTheme="minorHAnsi" w:cstheme="minorHAnsi"/>
          <w:sz w:val="22"/>
          <w:szCs w:val="22"/>
        </w:rPr>
        <w:t xml:space="preserve">: acordes defectivos, acordes por cuartas y quintas, </w:t>
      </w:r>
      <w:proofErr w:type="spellStart"/>
      <w:r w:rsidRPr="006071CE">
        <w:rPr>
          <w:rFonts w:asciiTheme="minorHAnsi" w:hAnsiTheme="minorHAnsi" w:cstheme="minorHAnsi"/>
          <w:sz w:val="22"/>
          <w:szCs w:val="22"/>
        </w:rPr>
        <w:t>policordios</w:t>
      </w:r>
      <w:proofErr w:type="spellEnd"/>
      <w:r w:rsidRPr="006071CE">
        <w:rPr>
          <w:rFonts w:asciiTheme="minorHAnsi" w:hAnsiTheme="minorHAnsi" w:cstheme="minorHAnsi"/>
          <w:sz w:val="22"/>
          <w:szCs w:val="22"/>
        </w:rPr>
        <w:t xml:space="preserve">. </w:t>
      </w:r>
      <w:proofErr w:type="spellStart"/>
      <w:r w:rsidRPr="006071CE">
        <w:rPr>
          <w:rFonts w:asciiTheme="minorHAnsi" w:hAnsiTheme="minorHAnsi" w:cstheme="minorHAnsi"/>
          <w:sz w:val="22"/>
          <w:szCs w:val="22"/>
        </w:rPr>
        <w:t>Bimodalidadacordal</w:t>
      </w:r>
      <w:proofErr w:type="spellEnd"/>
      <w:r w:rsidRPr="006071CE">
        <w:rPr>
          <w:rFonts w:asciiTheme="minorHAnsi" w:hAnsiTheme="minorHAnsi" w:cstheme="minorHAnsi"/>
          <w:sz w:val="22"/>
          <w:szCs w:val="22"/>
        </w:rPr>
        <w:t xml:space="preserve">. </w:t>
      </w:r>
      <w:proofErr w:type="spellStart"/>
      <w:r w:rsidRPr="006071CE">
        <w:rPr>
          <w:rFonts w:asciiTheme="minorHAnsi" w:hAnsiTheme="minorHAnsi" w:cstheme="minorHAnsi"/>
          <w:sz w:val="22"/>
          <w:szCs w:val="22"/>
        </w:rPr>
        <w:t>Politonalidad</w:t>
      </w:r>
      <w:proofErr w:type="spellEnd"/>
      <w:r w:rsidRPr="006071CE">
        <w:rPr>
          <w:rFonts w:asciiTheme="minorHAnsi" w:hAnsiTheme="minorHAnsi" w:cstheme="minorHAnsi"/>
          <w:sz w:val="22"/>
          <w:szCs w:val="22"/>
        </w:rPr>
        <w:t xml:space="preserve">. El sistema de ejes por relaciones </w:t>
      </w:r>
      <w:proofErr w:type="spellStart"/>
      <w:r w:rsidRPr="006071CE">
        <w:rPr>
          <w:rFonts w:asciiTheme="minorHAnsi" w:hAnsiTheme="minorHAnsi" w:cstheme="minorHAnsi"/>
          <w:sz w:val="22"/>
          <w:szCs w:val="22"/>
        </w:rPr>
        <w:t>tritonales</w:t>
      </w:r>
      <w:proofErr w:type="spellEnd"/>
      <w:r w:rsidRPr="006071CE">
        <w:rPr>
          <w:rFonts w:asciiTheme="minorHAnsi" w:hAnsiTheme="minorHAnsi" w:cstheme="minorHAnsi"/>
          <w:sz w:val="22"/>
          <w:szCs w:val="22"/>
        </w:rPr>
        <w:t>. Nuevas estructuras formales. Forma abierta.</w:t>
      </w:r>
    </w:p>
    <w:p w:rsidR="00A61C41" w:rsidRDefault="00A61C41">
      <w:pPr>
        <w:spacing w:after="0"/>
      </w:pPr>
    </w:p>
    <w:p w:rsidR="00A61C41" w:rsidRDefault="00C20D43">
      <w:pPr>
        <w:pBdr>
          <w:top w:val="single" w:sz="4" w:space="1" w:color="000000"/>
          <w:left w:val="single" w:sz="4" w:space="4" w:color="000000"/>
          <w:bottom w:val="single" w:sz="4" w:space="1" w:color="000000"/>
          <w:right w:val="single" w:sz="4" w:space="4" w:color="000000"/>
        </w:pBdr>
        <w:spacing w:after="0" w:line="240" w:lineRule="auto"/>
      </w:pPr>
      <w:r>
        <w:t>Se sugiere consultar la estructura de los planes vigentes en la web del Conservatorio a fin de comprender el contexto de esta unidad curricular dentro de toda la carrera.</w:t>
      </w:r>
    </w:p>
    <w:p w:rsidR="00A61C41" w:rsidRDefault="00210463">
      <w:pPr>
        <w:pBdr>
          <w:top w:val="single" w:sz="4" w:space="1" w:color="000000"/>
          <w:left w:val="single" w:sz="4" w:space="4" w:color="000000"/>
          <w:bottom w:val="single" w:sz="4" w:space="1" w:color="000000"/>
          <w:right w:val="single" w:sz="4" w:space="4" w:color="000000"/>
        </w:pBdr>
        <w:spacing w:after="0" w:line="240" w:lineRule="auto"/>
      </w:pPr>
      <w:hyperlink r:id="rId9">
        <w:r w:rsidR="00C20D43">
          <w:rPr>
            <w:color w:val="0000FF"/>
            <w:u w:val="single"/>
          </w:rPr>
          <w:t>https://cmfalla-caba.infd.edu.ar/sitio/carreras-y-tecnicaturas-superiores/</w:t>
        </w:r>
      </w:hyperlink>
      <w:r w:rsidR="00C20D43">
        <w:t xml:space="preserve"> </w:t>
      </w:r>
    </w:p>
    <w:sectPr w:rsidR="00A61C41" w:rsidSect="00210463">
      <w:headerReference w:type="default" r:id="rId10"/>
      <w:pgSz w:w="11906" w:h="16838"/>
      <w:pgMar w:top="1417" w:right="1416" w:bottom="1417" w:left="156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11B" w:rsidRDefault="0058411B">
      <w:pPr>
        <w:spacing w:after="0" w:line="240" w:lineRule="auto"/>
      </w:pPr>
      <w:r>
        <w:separator/>
      </w:r>
    </w:p>
  </w:endnote>
  <w:endnote w:type="continuationSeparator" w:id="0">
    <w:p w:rsidR="0058411B" w:rsidRDefault="00584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11B" w:rsidRDefault="0058411B">
      <w:pPr>
        <w:spacing w:after="0" w:line="240" w:lineRule="auto"/>
      </w:pPr>
      <w:r>
        <w:separator/>
      </w:r>
    </w:p>
  </w:footnote>
  <w:footnote w:type="continuationSeparator" w:id="0">
    <w:p w:rsidR="0058411B" w:rsidRDefault="00584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41" w:rsidRDefault="00C20D43">
    <w:pPr>
      <w:pBdr>
        <w:top w:val="nil"/>
        <w:left w:val="nil"/>
        <w:bottom w:val="nil"/>
        <w:right w:val="nil"/>
        <w:between w:val="nil"/>
      </w:pBdr>
      <w:tabs>
        <w:tab w:val="center" w:pos="4252"/>
        <w:tab w:val="right" w:pos="8504"/>
      </w:tabs>
      <w:spacing w:after="0" w:line="240" w:lineRule="auto"/>
      <w:jc w:val="center"/>
      <w:rPr>
        <w:b/>
        <w:color w:val="000000"/>
      </w:rPr>
    </w:pPr>
    <w:r>
      <w:rPr>
        <w:noProof/>
        <w:lang w:eastAsia="es-AR"/>
      </w:rPr>
      <w:drawing>
        <wp:anchor distT="0" distB="0" distL="114300" distR="114300" simplePos="0" relativeHeight="251658240" behindDoc="0" locked="0" layoutInCell="1" allowOverlap="1">
          <wp:simplePos x="0" y="0"/>
          <wp:positionH relativeFrom="column">
            <wp:posOffset>-314324</wp:posOffset>
          </wp:positionH>
          <wp:positionV relativeFrom="paragraph">
            <wp:posOffset>-78104</wp:posOffset>
          </wp:positionV>
          <wp:extent cx="1762125" cy="802974"/>
          <wp:effectExtent l="0" t="0" r="0" b="0"/>
          <wp:wrapSquare wrapText="bothSides" distT="0" distB="0" distL="114300" distR="114300"/>
          <wp:docPr id="4" name="image1.jpg" descr="logos_falla_h.jpg"/>
          <wp:cNvGraphicFramePr/>
          <a:graphic xmlns:a="http://schemas.openxmlformats.org/drawingml/2006/main">
            <a:graphicData uri="http://schemas.openxmlformats.org/drawingml/2006/picture">
              <pic:pic xmlns:pic="http://schemas.openxmlformats.org/drawingml/2006/picture">
                <pic:nvPicPr>
                  <pic:cNvPr id="0" name="image1.jpg" descr="logos_falla_h.jpg"/>
                  <pic:cNvPicPr preferRelativeResize="0"/>
                </pic:nvPicPr>
                <pic:blipFill>
                  <a:blip r:embed="rId1"/>
                  <a:srcRect/>
                  <a:stretch>
                    <a:fillRect/>
                  </a:stretch>
                </pic:blipFill>
                <pic:spPr>
                  <a:xfrm>
                    <a:off x="0" y="0"/>
                    <a:ext cx="1762125" cy="802974"/>
                  </a:xfrm>
                  <a:prstGeom prst="rect">
                    <a:avLst/>
                  </a:prstGeom>
                  <a:ln/>
                </pic:spPr>
              </pic:pic>
            </a:graphicData>
          </a:graphic>
        </wp:anchor>
      </w:drawing>
    </w:r>
  </w:p>
  <w:p w:rsidR="00A61C41" w:rsidRDefault="00C20D43">
    <w:pPr>
      <w:pBdr>
        <w:top w:val="nil"/>
        <w:left w:val="nil"/>
        <w:bottom w:val="nil"/>
        <w:right w:val="nil"/>
        <w:between w:val="nil"/>
      </w:pBdr>
      <w:tabs>
        <w:tab w:val="center" w:pos="4252"/>
        <w:tab w:val="right" w:pos="8504"/>
      </w:tabs>
      <w:spacing w:after="0" w:line="240" w:lineRule="auto"/>
      <w:jc w:val="center"/>
      <w:rPr>
        <w:b/>
        <w:color w:val="000000"/>
        <w:sz w:val="24"/>
        <w:szCs w:val="24"/>
      </w:rPr>
    </w:pPr>
    <w:r>
      <w:rPr>
        <w:b/>
        <w:color w:val="000000"/>
        <w:sz w:val="28"/>
        <w:szCs w:val="28"/>
      </w:rPr>
      <w:tab/>
    </w:r>
  </w:p>
  <w:p w:rsidR="00A61C41" w:rsidRDefault="00A61C41">
    <w:pPr>
      <w:pBdr>
        <w:top w:val="nil"/>
        <w:left w:val="nil"/>
        <w:bottom w:val="nil"/>
        <w:right w:val="nil"/>
        <w:between w:val="nil"/>
      </w:pBdr>
      <w:tabs>
        <w:tab w:val="center" w:pos="4252"/>
        <w:tab w:val="right" w:pos="8504"/>
      </w:tabs>
      <w:spacing w:after="0" w:line="240" w:lineRule="auto"/>
      <w:jc w:val="center"/>
      <w:rPr>
        <w:b/>
        <w:color w:val="000000"/>
        <w:sz w:val="28"/>
        <w:szCs w:val="28"/>
      </w:rPr>
    </w:pPr>
  </w:p>
  <w:p w:rsidR="00A61C41" w:rsidRDefault="00A61C41">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04AC2"/>
    <w:multiLevelType w:val="hybridMultilevel"/>
    <w:tmpl w:val="7A36E49A"/>
    <w:lvl w:ilvl="0" w:tplc="38F6C1B4">
      <w:numFmt w:val="bullet"/>
      <w:lvlText w:val=""/>
      <w:lvlJc w:val="left"/>
      <w:pPr>
        <w:ind w:left="786" w:hanging="360"/>
      </w:pPr>
      <w:rPr>
        <w:rFonts w:ascii="Symbol" w:eastAsia="Calibri" w:hAnsi="Symbol" w:cs="Aria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
    <w:nsid w:val="7C801043"/>
    <w:multiLevelType w:val="multilevel"/>
    <w:tmpl w:val="310E4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61C41"/>
    <w:rsid w:val="00036DDA"/>
    <w:rsid w:val="001936C5"/>
    <w:rsid w:val="00210463"/>
    <w:rsid w:val="0034156E"/>
    <w:rsid w:val="00546EFD"/>
    <w:rsid w:val="0058411B"/>
    <w:rsid w:val="006071CE"/>
    <w:rsid w:val="00A61C41"/>
    <w:rsid w:val="00C20D43"/>
    <w:rsid w:val="00FA768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DDC"/>
    <w:rPr>
      <w:lang w:eastAsia="en-US"/>
    </w:rPr>
  </w:style>
  <w:style w:type="paragraph" w:styleId="Ttulo1">
    <w:name w:val="heading 1"/>
    <w:basedOn w:val="Normal"/>
    <w:next w:val="Normal"/>
    <w:uiPriority w:val="9"/>
    <w:qFormat/>
    <w:rsid w:val="00210463"/>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210463"/>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210463"/>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210463"/>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210463"/>
    <w:pPr>
      <w:keepNext/>
      <w:keepLines/>
      <w:spacing w:before="220" w:after="40"/>
      <w:outlineLvl w:val="4"/>
    </w:pPr>
    <w:rPr>
      <w:b/>
    </w:rPr>
  </w:style>
  <w:style w:type="paragraph" w:styleId="Ttulo6">
    <w:name w:val="heading 6"/>
    <w:basedOn w:val="Normal"/>
    <w:next w:val="Normal"/>
    <w:uiPriority w:val="9"/>
    <w:semiHidden/>
    <w:unhideWhenUsed/>
    <w:qFormat/>
    <w:rsid w:val="0021046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10463"/>
    <w:tblPr>
      <w:tblCellMar>
        <w:top w:w="0" w:type="dxa"/>
        <w:left w:w="0" w:type="dxa"/>
        <w:bottom w:w="0" w:type="dxa"/>
        <w:right w:w="0" w:type="dxa"/>
      </w:tblCellMar>
    </w:tblPr>
  </w:style>
  <w:style w:type="paragraph" w:styleId="Ttulo">
    <w:name w:val="Title"/>
    <w:basedOn w:val="Normal"/>
    <w:next w:val="Normal"/>
    <w:uiPriority w:val="10"/>
    <w:qFormat/>
    <w:rsid w:val="00210463"/>
    <w:pPr>
      <w:keepNext/>
      <w:keepLines/>
      <w:spacing w:before="480" w:after="120"/>
    </w:pPr>
    <w:rPr>
      <w:b/>
      <w:sz w:val="72"/>
      <w:szCs w:val="72"/>
    </w:rPr>
  </w:style>
  <w:style w:type="table" w:styleId="Tablaconcuadrcula">
    <w:name w:val="Table Grid"/>
    <w:basedOn w:val="Tablanormal"/>
    <w:uiPriority w:val="59"/>
    <w:rsid w:val="00740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40E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0EA4"/>
  </w:style>
  <w:style w:type="paragraph" w:styleId="Piedepgina">
    <w:name w:val="footer"/>
    <w:basedOn w:val="Normal"/>
    <w:link w:val="PiedepginaCar"/>
    <w:uiPriority w:val="99"/>
    <w:unhideWhenUsed/>
    <w:rsid w:val="00740E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0EA4"/>
  </w:style>
  <w:style w:type="character" w:styleId="Hipervnculo">
    <w:name w:val="Hyperlink"/>
    <w:uiPriority w:val="99"/>
    <w:unhideWhenUsed/>
    <w:rsid w:val="001E50F9"/>
    <w:rPr>
      <w:color w:val="0000FF"/>
      <w:u w:val="single"/>
    </w:rPr>
  </w:style>
  <w:style w:type="paragraph" w:styleId="Prrafodelista">
    <w:name w:val="List Paragraph"/>
    <w:basedOn w:val="Normal"/>
    <w:uiPriority w:val="34"/>
    <w:qFormat/>
    <w:rsid w:val="00D1029E"/>
    <w:pPr>
      <w:ind w:left="720"/>
      <w:contextualSpacing/>
    </w:pPr>
  </w:style>
  <w:style w:type="paragraph" w:styleId="Textocomentario">
    <w:name w:val="annotation text"/>
    <w:basedOn w:val="Normal"/>
    <w:link w:val="TextocomentarioCar"/>
    <w:uiPriority w:val="99"/>
    <w:unhideWhenUsed/>
    <w:rsid w:val="00D1029E"/>
    <w:pPr>
      <w:suppressAutoHyphens/>
    </w:pPr>
    <w:rPr>
      <w:rFonts w:eastAsia="SimSun"/>
      <w:kern w:val="2"/>
      <w:sz w:val="20"/>
      <w:szCs w:val="20"/>
      <w:lang w:eastAsia="ar-SA"/>
    </w:rPr>
  </w:style>
  <w:style w:type="character" w:customStyle="1" w:styleId="TextocomentarioCar">
    <w:name w:val="Texto comentario Car"/>
    <w:basedOn w:val="Fuentedeprrafopredeter"/>
    <w:link w:val="Textocomentario"/>
    <w:uiPriority w:val="99"/>
    <w:rsid w:val="00D1029E"/>
    <w:rPr>
      <w:rFonts w:eastAsia="SimSun" w:cs="Calibri"/>
      <w:kern w:val="2"/>
      <w:lang w:eastAsia="ar-SA"/>
    </w:rPr>
  </w:style>
  <w:style w:type="paragraph" w:styleId="Subttulo">
    <w:name w:val="Subtitle"/>
    <w:basedOn w:val="Normal"/>
    <w:next w:val="Normal"/>
    <w:uiPriority w:val="11"/>
    <w:qFormat/>
    <w:rsid w:val="00210463"/>
    <w:pPr>
      <w:keepNext/>
      <w:keepLines/>
      <w:spacing w:before="360" w:after="80"/>
    </w:pPr>
    <w:rPr>
      <w:rFonts w:ascii="Georgia" w:eastAsia="Georgia" w:hAnsi="Georgia" w:cs="Georgia"/>
      <w:i/>
      <w:color w:val="666666"/>
      <w:sz w:val="48"/>
      <w:szCs w:val="48"/>
    </w:rPr>
  </w:style>
  <w:style w:type="table" w:customStyle="1" w:styleId="a">
    <w:basedOn w:val="TableNormal"/>
    <w:rsid w:val="00210463"/>
    <w:tblPr>
      <w:tblStyleRowBandSize w:val="1"/>
      <w:tblStyleColBandSize w:val="1"/>
      <w:tblCellMar>
        <w:top w:w="0" w:type="dxa"/>
        <w:left w:w="115" w:type="dxa"/>
        <w:bottom w:w="0" w:type="dxa"/>
        <w:right w:w="115" w:type="dxa"/>
      </w:tblCellMar>
    </w:tblPr>
  </w:style>
  <w:style w:type="paragraph" w:styleId="NormalWeb">
    <w:name w:val="Normal (Web)"/>
    <w:basedOn w:val="Normal"/>
    <w:uiPriority w:val="99"/>
    <w:unhideWhenUsed/>
    <w:rsid w:val="001936C5"/>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895505400">
      <w:bodyDiv w:val="1"/>
      <w:marLeft w:val="0"/>
      <w:marRight w:val="0"/>
      <w:marTop w:val="0"/>
      <w:marBottom w:val="0"/>
      <w:divBdr>
        <w:top w:val="none" w:sz="0" w:space="0" w:color="auto"/>
        <w:left w:val="none" w:sz="0" w:space="0" w:color="auto"/>
        <w:bottom w:val="none" w:sz="0" w:space="0" w:color="auto"/>
        <w:right w:val="none" w:sz="0" w:space="0" w:color="auto"/>
      </w:divBdr>
      <w:divsChild>
        <w:div w:id="1217618148">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mentostecnicossuperio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mfalla-caba.infd.edu.ar/sitio/carreras-y-tecnicaturas-superio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zHPgZ/XOVT5NrhXVQl1+vNE8Gg==">AMUW2mUBeS7Y8ukAfKBgkKphMpe1sBas8vdGUwLdipEl7oE3rYfv1+vexBFMy7rg+Ko1YTFcAH+pnA7osFA7iIffcYSnpRD576xAETbd61sjudXMirRFczYEktm8TmsHgfWLY9vnejLb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786</Words>
  <Characters>4325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dc:creator>
  <cp:lastModifiedBy>MARCOS</cp:lastModifiedBy>
  <cp:revision>6</cp:revision>
  <dcterms:created xsi:type="dcterms:W3CDTF">2021-03-10T20:51:00Z</dcterms:created>
  <dcterms:modified xsi:type="dcterms:W3CDTF">2021-03-19T19:01:00Z</dcterms:modified>
</cp:coreProperties>
</file>