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87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66"/>
      </w:tblGrid>
      <w:tr w:rsidR="00B301C1" w:rsidRPr="008F26FE" w:rsidTr="00930F29">
        <w:trPr>
          <w:trHeight w:val="416"/>
        </w:trPr>
        <w:tc>
          <w:tcPr>
            <w:tcW w:w="2660" w:type="dxa"/>
            <w:vAlign w:val="center"/>
          </w:tcPr>
          <w:p w:rsidR="00B301C1" w:rsidRPr="008F26FE" w:rsidRDefault="00B301C1" w:rsidP="00332B80">
            <w:pPr>
              <w:spacing w:after="0" w:line="240" w:lineRule="auto"/>
              <w:rPr>
                <w:b/>
              </w:rPr>
            </w:pPr>
            <w:bookmarkStart w:id="0" w:name="_Hlk63946589"/>
            <w:bookmarkStart w:id="1" w:name="_Hlk63940311"/>
            <w:r w:rsidRPr="008F26FE">
              <w:rPr>
                <w:b/>
              </w:rPr>
              <w:t>DEPARTAMENTO</w:t>
            </w:r>
          </w:p>
        </w:tc>
        <w:tc>
          <w:tcPr>
            <w:tcW w:w="6266" w:type="dxa"/>
            <w:vAlign w:val="center"/>
          </w:tcPr>
          <w:p w:rsidR="00B301C1" w:rsidRPr="00DC7962" w:rsidRDefault="00B301C1" w:rsidP="00332B80">
            <w:pPr>
              <w:spacing w:after="0" w:line="240" w:lineRule="auto"/>
              <w:rPr>
                <w:b/>
              </w:rPr>
            </w:pPr>
            <w:r>
              <w:rPr>
                <w:b/>
              </w:rPr>
              <w:t>Materias de Formación General y Pedagógicas</w:t>
            </w:r>
          </w:p>
        </w:tc>
      </w:tr>
      <w:tr w:rsidR="00B301C1" w:rsidRPr="008F26FE" w:rsidTr="00930F29">
        <w:trPr>
          <w:trHeight w:val="422"/>
        </w:trPr>
        <w:tc>
          <w:tcPr>
            <w:tcW w:w="2660" w:type="dxa"/>
            <w:vAlign w:val="center"/>
          </w:tcPr>
          <w:p w:rsidR="00B301C1" w:rsidRPr="008F26FE" w:rsidRDefault="00B301C1" w:rsidP="00332B80">
            <w:pPr>
              <w:spacing w:after="0" w:line="240" w:lineRule="auto"/>
            </w:pPr>
            <w:r w:rsidRPr="008F26FE">
              <w:t>Coordinador a/c</w:t>
            </w:r>
          </w:p>
        </w:tc>
        <w:tc>
          <w:tcPr>
            <w:tcW w:w="6266" w:type="dxa"/>
            <w:vAlign w:val="center"/>
          </w:tcPr>
          <w:p w:rsidR="00B301C1" w:rsidRPr="008F26FE" w:rsidRDefault="00A67524" w:rsidP="00332B80">
            <w:pPr>
              <w:spacing w:after="0" w:line="240" w:lineRule="auto"/>
            </w:pPr>
            <w:r>
              <w:t xml:space="preserve">Prof. </w:t>
            </w:r>
            <w:proofErr w:type="spellStart"/>
            <w:r w:rsidR="00850E30">
              <w:t>Emilse</w:t>
            </w:r>
            <w:proofErr w:type="spellEnd"/>
            <w:r w:rsidR="00850E30">
              <w:t xml:space="preserve"> </w:t>
            </w:r>
            <w:proofErr w:type="spellStart"/>
            <w:r w:rsidR="00850E30">
              <w:t>Diment</w:t>
            </w:r>
            <w:proofErr w:type="spellEnd"/>
          </w:p>
        </w:tc>
      </w:tr>
      <w:tr w:rsidR="00DF3849" w:rsidRPr="008F26FE" w:rsidTr="005E103A">
        <w:trPr>
          <w:trHeight w:val="542"/>
        </w:trPr>
        <w:tc>
          <w:tcPr>
            <w:tcW w:w="2660" w:type="dxa"/>
            <w:vAlign w:val="center"/>
          </w:tcPr>
          <w:p w:rsidR="00DF3849" w:rsidRPr="008F26FE" w:rsidRDefault="00DF3849" w:rsidP="00DF3849">
            <w:pPr>
              <w:spacing w:after="0" w:line="240" w:lineRule="auto"/>
            </w:pPr>
            <w:r w:rsidRPr="008F26FE">
              <w:t>MATERIA/ASIGNATURA</w:t>
            </w:r>
          </w:p>
        </w:tc>
        <w:tc>
          <w:tcPr>
            <w:tcW w:w="6266" w:type="dxa"/>
            <w:vAlign w:val="center"/>
          </w:tcPr>
          <w:p w:rsidR="00DF3849" w:rsidRPr="00A67524" w:rsidRDefault="00570D05" w:rsidP="00E66F4A">
            <w:pPr>
              <w:pStyle w:val="NormalWeb"/>
              <w:spacing w:before="0" w:beforeAutospacing="0" w:after="0" w:afterAutospacing="0"/>
              <w:rPr>
                <w:rFonts w:ascii="Calibri" w:eastAsia="Calibri" w:hAnsi="Calibri"/>
                <w:b/>
                <w:szCs w:val="22"/>
                <w:lang w:val="es-AR"/>
              </w:rPr>
            </w:pPr>
            <w:r>
              <w:rPr>
                <w:rFonts w:ascii="Calibri" w:eastAsia="Calibri" w:hAnsi="Calibri"/>
                <w:b/>
                <w:szCs w:val="22"/>
                <w:lang w:val="es-AR"/>
              </w:rPr>
              <w:t>Residencia con distintos sujetos en contextos diversos</w:t>
            </w:r>
            <w:r w:rsidR="00AC38A6">
              <w:rPr>
                <w:rFonts w:ascii="Calibri" w:eastAsia="Calibri" w:hAnsi="Calibri"/>
                <w:b/>
                <w:szCs w:val="22"/>
                <w:lang w:val="es-AR"/>
              </w:rPr>
              <w:t xml:space="preserve"> (Nivel </w:t>
            </w:r>
            <w:r w:rsidR="00E66F4A">
              <w:rPr>
                <w:rFonts w:ascii="Calibri" w:eastAsia="Calibri" w:hAnsi="Calibri"/>
                <w:b/>
                <w:szCs w:val="22"/>
                <w:lang w:val="es-AR"/>
              </w:rPr>
              <w:t>Medio</w:t>
            </w:r>
            <w:r w:rsidR="00AC38A6">
              <w:rPr>
                <w:rFonts w:ascii="Calibri" w:eastAsia="Calibri" w:hAnsi="Calibri"/>
                <w:b/>
                <w:szCs w:val="22"/>
                <w:lang w:val="es-AR"/>
              </w:rPr>
              <w:t>)</w:t>
            </w:r>
          </w:p>
        </w:tc>
      </w:tr>
      <w:tr w:rsidR="00B301C1" w:rsidRPr="008F26FE" w:rsidTr="00930F29">
        <w:trPr>
          <w:trHeight w:val="420"/>
        </w:trPr>
        <w:tc>
          <w:tcPr>
            <w:tcW w:w="2660" w:type="dxa"/>
            <w:vAlign w:val="center"/>
          </w:tcPr>
          <w:p w:rsidR="00B301C1" w:rsidRPr="008F26FE" w:rsidRDefault="00B301C1" w:rsidP="00332B80">
            <w:pPr>
              <w:spacing w:after="0" w:line="240" w:lineRule="auto"/>
            </w:pPr>
            <w:r w:rsidRPr="008F26FE">
              <w:t>Ciclo o Nivel</w:t>
            </w:r>
            <w:r>
              <w:t xml:space="preserve"> / Plan</w:t>
            </w:r>
          </w:p>
        </w:tc>
        <w:tc>
          <w:tcPr>
            <w:tcW w:w="6266" w:type="dxa"/>
            <w:vAlign w:val="center"/>
          </w:tcPr>
          <w:p w:rsidR="00B301C1" w:rsidRPr="008F26FE" w:rsidRDefault="00E66F4A" w:rsidP="00A67524">
            <w:pPr>
              <w:spacing w:after="0" w:line="240" w:lineRule="auto"/>
            </w:pPr>
            <w:r>
              <w:rPr>
                <w:rFonts w:cs="Calibri"/>
                <w:color w:val="000000"/>
              </w:rPr>
              <w:t>Ciclo</w:t>
            </w:r>
            <w:r w:rsidR="00930F29">
              <w:rPr>
                <w:rFonts w:cs="Calibri"/>
                <w:color w:val="000000"/>
              </w:rPr>
              <w:t xml:space="preserve"> Superior </w:t>
            </w:r>
            <w:r w:rsidR="00A67524">
              <w:rPr>
                <w:rFonts w:cs="Calibri"/>
                <w:color w:val="000000"/>
              </w:rPr>
              <w:t xml:space="preserve"> </w:t>
            </w:r>
          </w:p>
        </w:tc>
      </w:tr>
      <w:tr w:rsidR="00B301C1" w:rsidRPr="008F26FE" w:rsidTr="00930F29">
        <w:trPr>
          <w:trHeight w:val="621"/>
        </w:trPr>
        <w:tc>
          <w:tcPr>
            <w:tcW w:w="2660" w:type="dxa"/>
            <w:vAlign w:val="center"/>
          </w:tcPr>
          <w:p w:rsidR="00B301C1" w:rsidRPr="008F26FE" w:rsidRDefault="00B301C1" w:rsidP="00332B80">
            <w:pPr>
              <w:spacing w:after="0" w:line="240" w:lineRule="auto"/>
            </w:pPr>
            <w:r w:rsidRPr="008F26FE">
              <w:t>Perfil docente</w:t>
            </w:r>
          </w:p>
        </w:tc>
        <w:tc>
          <w:tcPr>
            <w:tcW w:w="6266" w:type="dxa"/>
            <w:vAlign w:val="center"/>
          </w:tcPr>
          <w:p w:rsidR="00160737" w:rsidRDefault="00160737" w:rsidP="00160737">
            <w:pPr>
              <w:spacing w:after="0" w:line="240" w:lineRule="auto"/>
              <w:jc w:val="both"/>
            </w:pPr>
            <w:r w:rsidRPr="008E20E6">
              <w:t xml:space="preserve">Título Docente </w:t>
            </w:r>
            <w:r>
              <w:t xml:space="preserve">de </w:t>
            </w:r>
            <w:r w:rsidRPr="00F33CB4">
              <w:t>Música con habilitación para el Nivel Superior.</w:t>
            </w:r>
            <w:r w:rsidR="00E66F4A">
              <w:t xml:space="preserve"> En su defecto, Profesor/a de Música. </w:t>
            </w:r>
            <w:r w:rsidRPr="008E20E6">
              <w:t>(Título</w:t>
            </w:r>
            <w:r>
              <w:t>s otorgado por Instituciones regidas por Ley 24.521)</w:t>
            </w:r>
            <w:r w:rsidR="00E66F4A">
              <w:t>.</w:t>
            </w:r>
            <w:r>
              <w:t xml:space="preserve"> </w:t>
            </w:r>
          </w:p>
          <w:p w:rsidR="00B301C1" w:rsidRPr="008F26FE" w:rsidRDefault="00160737" w:rsidP="00160737">
            <w:pPr>
              <w:spacing w:after="0" w:line="240" w:lineRule="auto"/>
            </w:pPr>
            <w:r>
              <w:t xml:space="preserve">Experiencia y antecedentes docentes y artísticos </w:t>
            </w:r>
            <w:r w:rsidR="00B301C1">
              <w:t xml:space="preserve">relevantes </w:t>
            </w:r>
            <w:r>
              <w:t>en el nivel requerido.</w:t>
            </w:r>
          </w:p>
        </w:tc>
      </w:tr>
      <w:tr w:rsidR="00B301C1" w:rsidRPr="008F26FE" w:rsidTr="00930F29">
        <w:trPr>
          <w:trHeight w:val="632"/>
        </w:trPr>
        <w:tc>
          <w:tcPr>
            <w:tcW w:w="2660" w:type="dxa"/>
            <w:vAlign w:val="center"/>
          </w:tcPr>
          <w:p w:rsidR="00B301C1" w:rsidRPr="008F26FE" w:rsidRDefault="00B301C1" w:rsidP="00332B80">
            <w:pPr>
              <w:spacing w:after="0" w:line="240" w:lineRule="auto"/>
            </w:pPr>
            <w:r w:rsidRPr="008F26FE">
              <w:t>Cantidad de antecedentes</w:t>
            </w:r>
            <w:r>
              <w:t xml:space="preserve"> máximos</w:t>
            </w:r>
          </w:p>
        </w:tc>
        <w:tc>
          <w:tcPr>
            <w:tcW w:w="6266" w:type="dxa"/>
            <w:vAlign w:val="center"/>
          </w:tcPr>
          <w:p w:rsidR="00B301C1" w:rsidRPr="008F26FE" w:rsidRDefault="00B301C1" w:rsidP="000A5259">
            <w:pPr>
              <w:spacing w:after="0" w:line="240" w:lineRule="auto"/>
            </w:pPr>
            <w:r>
              <w:t>1</w:t>
            </w:r>
            <w:r w:rsidR="000A5259">
              <w:t>0</w:t>
            </w:r>
            <w:r>
              <w:t xml:space="preserve"> (</w:t>
            </w:r>
            <w:r w:rsidR="000A5259">
              <w:t>diez</w:t>
            </w:r>
            <w:r>
              <w:t>) antecedentes acordes al objeto de búsqueda según Grilla adjuntada.</w:t>
            </w:r>
          </w:p>
        </w:tc>
      </w:tr>
      <w:tr w:rsidR="00B301C1" w:rsidRPr="008F26FE" w:rsidTr="00930F29">
        <w:trPr>
          <w:trHeight w:val="899"/>
        </w:trPr>
        <w:tc>
          <w:tcPr>
            <w:tcW w:w="2660" w:type="dxa"/>
            <w:vAlign w:val="center"/>
          </w:tcPr>
          <w:p w:rsidR="00B301C1" w:rsidRPr="008F26FE" w:rsidRDefault="00B301C1" w:rsidP="00332B80">
            <w:pPr>
              <w:spacing w:after="0" w:line="240" w:lineRule="auto"/>
            </w:pPr>
            <w:r w:rsidRPr="008F26FE">
              <w:t>Proyecto Pedagógico</w:t>
            </w:r>
          </w:p>
        </w:tc>
        <w:tc>
          <w:tcPr>
            <w:tcW w:w="6266" w:type="dxa"/>
            <w:vAlign w:val="center"/>
          </w:tcPr>
          <w:p w:rsidR="00B301C1" w:rsidRPr="00016EBC" w:rsidRDefault="00B301C1" w:rsidP="00332B80">
            <w:pPr>
              <w:spacing w:after="0" w:line="240" w:lineRule="auto"/>
            </w:pPr>
            <w:r w:rsidRPr="00016EBC">
              <w:t>Se requiere proyecto pedagógico original acorde a los objetivos generales y contenidos mínimos de</w:t>
            </w:r>
            <w:r>
              <w:t xml:space="preserve"> los planes de Estudio vigentes </w:t>
            </w:r>
            <w:r w:rsidRPr="00016EBC">
              <w:rPr>
                <w:b/>
              </w:rPr>
              <w:t>(*)</w:t>
            </w:r>
            <w:r>
              <w:rPr>
                <w:b/>
              </w:rPr>
              <w:t xml:space="preserve">. </w:t>
            </w:r>
            <w:r w:rsidRPr="00254AE4">
              <w:t>Puntuación máxima: 20 (veinte) puntos.</w:t>
            </w:r>
          </w:p>
        </w:tc>
      </w:tr>
      <w:tr w:rsidR="00B301C1" w:rsidRPr="008F26FE" w:rsidTr="00930F29">
        <w:trPr>
          <w:trHeight w:val="1691"/>
        </w:trPr>
        <w:tc>
          <w:tcPr>
            <w:tcW w:w="2660" w:type="dxa"/>
            <w:vAlign w:val="center"/>
          </w:tcPr>
          <w:p w:rsidR="00B301C1" w:rsidRPr="008F26FE" w:rsidRDefault="00B301C1" w:rsidP="00930F29">
            <w:pPr>
              <w:spacing w:after="0" w:line="240" w:lineRule="auto"/>
            </w:pPr>
            <w:r w:rsidRPr="008F26FE">
              <w:t>Modalidad de coloquio</w:t>
            </w:r>
            <w:r>
              <w:t xml:space="preserve"> </w:t>
            </w:r>
          </w:p>
        </w:tc>
        <w:tc>
          <w:tcPr>
            <w:tcW w:w="6266" w:type="dxa"/>
            <w:vAlign w:val="center"/>
          </w:tcPr>
          <w:p w:rsidR="00B301C1" w:rsidRDefault="00B301C1" w:rsidP="00332B80">
            <w:pPr>
              <w:spacing w:after="0" w:line="240" w:lineRule="auto"/>
            </w:pPr>
            <w:r>
              <w:t>La modalidad del coloquio podrá ser presencial o virtual. Se informará oportunamente por mail a cada postulante.</w:t>
            </w:r>
          </w:p>
          <w:p w:rsidR="00B301C1" w:rsidRDefault="00B301C1" w:rsidP="00332B80">
            <w:pPr>
              <w:spacing w:after="0" w:line="240" w:lineRule="auto"/>
            </w:pPr>
            <w:r>
              <w:t>El coloquio puede incluir la defensa del proyecto, entrevista, clase y ensayo, dependiendo la modalidad.</w:t>
            </w:r>
          </w:p>
          <w:p w:rsidR="00B301C1" w:rsidRPr="008F26FE" w:rsidRDefault="00B301C1" w:rsidP="00254FAE">
            <w:pPr>
              <w:spacing w:after="0" w:line="240" w:lineRule="auto"/>
            </w:pPr>
            <w:r w:rsidRPr="00A01B07">
              <w:t xml:space="preserve">Puntuación </w:t>
            </w:r>
            <w:r w:rsidRPr="00254AE4">
              <w:t>máxima</w:t>
            </w:r>
            <w:r>
              <w:t>:</w:t>
            </w:r>
            <w:r w:rsidRPr="00254AE4">
              <w:t xml:space="preserve"> </w:t>
            </w:r>
            <w:r w:rsidR="00254FAE">
              <w:t>30 (treinta</w:t>
            </w:r>
            <w:r w:rsidRPr="00254AE4">
              <w:t>)</w:t>
            </w:r>
            <w:r w:rsidRPr="00A01B07">
              <w:t xml:space="preserve"> puntos</w:t>
            </w:r>
            <w:r>
              <w:t>.</w:t>
            </w:r>
          </w:p>
        </w:tc>
      </w:tr>
      <w:tr w:rsidR="00B301C1" w:rsidRPr="00462EE9" w:rsidTr="00930F29">
        <w:trPr>
          <w:trHeight w:val="920"/>
        </w:trPr>
        <w:tc>
          <w:tcPr>
            <w:tcW w:w="2660" w:type="dxa"/>
            <w:vAlign w:val="center"/>
          </w:tcPr>
          <w:p w:rsidR="00B301C1" w:rsidRPr="008F26FE" w:rsidRDefault="00B301C1" w:rsidP="00332B80">
            <w:pPr>
              <w:spacing w:after="0" w:line="240" w:lineRule="auto"/>
            </w:pPr>
            <w:r w:rsidRPr="008F26FE">
              <w:t>Comisión Evaluadora</w:t>
            </w:r>
          </w:p>
        </w:tc>
        <w:tc>
          <w:tcPr>
            <w:tcW w:w="6266" w:type="dxa"/>
            <w:vAlign w:val="center"/>
          </w:tcPr>
          <w:p w:rsidR="007600AC" w:rsidRDefault="007600AC" w:rsidP="005D413A">
            <w:pPr>
              <w:spacing w:after="0" w:line="240" w:lineRule="auto"/>
              <w:rPr>
                <w:lang w:val="en-US"/>
              </w:rPr>
            </w:pPr>
            <w:r w:rsidRPr="00462EE9">
              <w:rPr>
                <w:lang w:val="en-US"/>
              </w:rPr>
              <w:t>Prof.</w:t>
            </w:r>
            <w:r>
              <w:rPr>
                <w:lang w:val="en-US"/>
              </w:rPr>
              <w:t xml:space="preserve"> </w:t>
            </w:r>
            <w:proofErr w:type="spellStart"/>
            <w:r w:rsidR="00E66F4A">
              <w:rPr>
                <w:lang w:val="en-US"/>
              </w:rPr>
              <w:t>María</w:t>
            </w:r>
            <w:proofErr w:type="spellEnd"/>
            <w:r w:rsidR="00E66F4A">
              <w:rPr>
                <w:lang w:val="en-US"/>
              </w:rPr>
              <w:t xml:space="preserve"> Laura </w:t>
            </w:r>
            <w:proofErr w:type="spellStart"/>
            <w:r w:rsidR="00E66F4A">
              <w:rPr>
                <w:lang w:val="en-US"/>
              </w:rPr>
              <w:t>Otheguy</w:t>
            </w:r>
            <w:proofErr w:type="spellEnd"/>
          </w:p>
          <w:p w:rsidR="005D413A" w:rsidRPr="00A5242F" w:rsidRDefault="005D413A" w:rsidP="005D413A">
            <w:pPr>
              <w:spacing w:after="0" w:line="240" w:lineRule="auto"/>
              <w:rPr>
                <w:lang w:val="en-US"/>
              </w:rPr>
            </w:pPr>
            <w:r w:rsidRPr="00A5242F">
              <w:rPr>
                <w:lang w:val="en-US"/>
              </w:rPr>
              <w:t xml:space="preserve">Prof. </w:t>
            </w:r>
            <w:r w:rsidR="000A5259">
              <w:rPr>
                <w:lang w:val="en-US"/>
              </w:rPr>
              <w:t>Carla Grosso (externa)</w:t>
            </w:r>
          </w:p>
          <w:p w:rsidR="00B301C1" w:rsidRPr="00462EE9" w:rsidRDefault="005D413A" w:rsidP="00570D05">
            <w:pPr>
              <w:spacing w:after="0" w:line="240" w:lineRule="auto"/>
              <w:rPr>
                <w:lang w:val="en-US"/>
              </w:rPr>
            </w:pPr>
            <w:r w:rsidRPr="00A5242F">
              <w:rPr>
                <w:lang w:val="en-US"/>
              </w:rPr>
              <w:t>Prof. Santiago</w:t>
            </w:r>
            <w:r w:rsidR="00570D05">
              <w:rPr>
                <w:lang w:val="en-US"/>
              </w:rPr>
              <w:t xml:space="preserve"> </w:t>
            </w:r>
            <w:proofErr w:type="spellStart"/>
            <w:r w:rsidR="00570D05">
              <w:rPr>
                <w:lang w:val="en-US"/>
              </w:rPr>
              <w:t>López</w:t>
            </w:r>
            <w:proofErr w:type="spellEnd"/>
          </w:p>
        </w:tc>
      </w:tr>
      <w:tr w:rsidR="00B301C1" w:rsidRPr="008F26FE" w:rsidTr="00930F29">
        <w:trPr>
          <w:trHeight w:val="1687"/>
        </w:trPr>
        <w:tc>
          <w:tcPr>
            <w:tcW w:w="2660" w:type="dxa"/>
            <w:vAlign w:val="center"/>
          </w:tcPr>
          <w:p w:rsidR="00B301C1" w:rsidRPr="008F26FE" w:rsidRDefault="00B301C1" w:rsidP="00332B80">
            <w:pPr>
              <w:spacing w:after="0" w:line="240" w:lineRule="auto"/>
            </w:pPr>
            <w:r w:rsidRPr="008F26FE">
              <w:t>Presentación de Carpetas</w:t>
            </w:r>
          </w:p>
        </w:tc>
        <w:tc>
          <w:tcPr>
            <w:tcW w:w="6266" w:type="dxa"/>
            <w:vAlign w:val="center"/>
          </w:tcPr>
          <w:p w:rsidR="00850E30" w:rsidRDefault="00B301C1" w:rsidP="00332B80">
            <w:pPr>
              <w:spacing w:after="0" w:line="240" w:lineRule="auto"/>
              <w:rPr>
                <w:b/>
              </w:rPr>
            </w:pPr>
            <w:r w:rsidRPr="00160737">
              <w:rPr>
                <w:b/>
              </w:rPr>
              <w:t>Fechas</w:t>
            </w:r>
            <w:r w:rsidR="00394032" w:rsidRPr="00160737">
              <w:rPr>
                <w:b/>
              </w:rPr>
              <w:t>:</w:t>
            </w:r>
            <w:r w:rsidR="00394032">
              <w:rPr>
                <w:b/>
              </w:rPr>
              <w:t xml:space="preserve"> </w:t>
            </w:r>
            <w:r w:rsidR="00160737">
              <w:rPr>
                <w:b/>
              </w:rPr>
              <w:t xml:space="preserve">del </w:t>
            </w:r>
            <w:r w:rsidR="000A5259">
              <w:rPr>
                <w:b/>
              </w:rPr>
              <w:t>08</w:t>
            </w:r>
            <w:r w:rsidR="00160737">
              <w:rPr>
                <w:b/>
              </w:rPr>
              <w:t>/0</w:t>
            </w:r>
            <w:r w:rsidR="000A5259">
              <w:rPr>
                <w:b/>
              </w:rPr>
              <w:t>8</w:t>
            </w:r>
            <w:r w:rsidR="00160737">
              <w:rPr>
                <w:b/>
              </w:rPr>
              <w:t xml:space="preserve">/22 al </w:t>
            </w:r>
            <w:r w:rsidR="000A5259">
              <w:rPr>
                <w:b/>
              </w:rPr>
              <w:t>22</w:t>
            </w:r>
            <w:r w:rsidR="00160737">
              <w:rPr>
                <w:b/>
              </w:rPr>
              <w:t>/0</w:t>
            </w:r>
            <w:r w:rsidR="000A5259">
              <w:rPr>
                <w:b/>
              </w:rPr>
              <w:t>8</w:t>
            </w:r>
            <w:r w:rsidR="00160737">
              <w:rPr>
                <w:b/>
              </w:rPr>
              <w:t xml:space="preserve">/22, a las 18 </w:t>
            </w:r>
            <w:proofErr w:type="spellStart"/>
            <w:r w:rsidR="00160737">
              <w:rPr>
                <w:b/>
              </w:rPr>
              <w:t>hs</w:t>
            </w:r>
            <w:proofErr w:type="spellEnd"/>
          </w:p>
          <w:p w:rsidR="00B301C1" w:rsidRDefault="00B301C1" w:rsidP="00332B80">
            <w:pPr>
              <w:spacing w:after="0" w:line="240" w:lineRule="auto"/>
            </w:pPr>
            <w:r>
              <w:t xml:space="preserve">De acuerdo al Instructivo general, el envío de toda la documentación </w:t>
            </w:r>
            <w:bookmarkStart w:id="2" w:name="_GoBack"/>
            <w:bookmarkEnd w:id="2"/>
            <w:r>
              <w:t>en formato digital debe ser a</w:t>
            </w:r>
            <w:r w:rsidRPr="00A01B07">
              <w:t xml:space="preserve">l siguiente mail: </w:t>
            </w:r>
          </w:p>
          <w:p w:rsidR="00B301C1" w:rsidRPr="009756BE" w:rsidRDefault="00086F4F" w:rsidP="00332B80">
            <w:pPr>
              <w:spacing w:after="0" w:line="240" w:lineRule="auto"/>
              <w:rPr>
                <w:lang w:val="es-ES"/>
              </w:rPr>
            </w:pPr>
            <w:hyperlink r:id="rId7" w:history="1">
              <w:r w:rsidR="00B301C1" w:rsidRPr="00A042E6">
                <w:rPr>
                  <w:rStyle w:val="Hipervnculo"/>
                  <w:lang w:val="es-ES"/>
                </w:rPr>
                <w:t>departamentofgyp@gmail.com</w:t>
              </w:r>
            </w:hyperlink>
            <w:r w:rsidR="00B301C1" w:rsidRPr="009756BE">
              <w:rPr>
                <w:lang w:val="es-ES"/>
              </w:rPr>
              <w:t xml:space="preserve"> </w:t>
            </w:r>
          </w:p>
          <w:p w:rsidR="00B301C1" w:rsidRPr="008F26FE" w:rsidRDefault="00B301C1" w:rsidP="00332B80">
            <w:pPr>
              <w:spacing w:after="0" w:line="240" w:lineRule="auto"/>
            </w:pPr>
            <w:r>
              <w:t>Cada postulante recibirá el acuse de recibo de la documentación.</w:t>
            </w:r>
          </w:p>
        </w:tc>
      </w:tr>
      <w:tr w:rsidR="00B301C1" w:rsidRPr="008F26FE" w:rsidTr="00930F29">
        <w:trPr>
          <w:trHeight w:val="349"/>
        </w:trPr>
        <w:tc>
          <w:tcPr>
            <w:tcW w:w="2660" w:type="dxa"/>
            <w:vAlign w:val="center"/>
          </w:tcPr>
          <w:p w:rsidR="00B301C1" w:rsidRPr="008F26FE" w:rsidRDefault="00B301C1" w:rsidP="00332B80">
            <w:pPr>
              <w:spacing w:after="0" w:line="240" w:lineRule="auto"/>
            </w:pPr>
            <w:r>
              <w:t>Fecha de Coloquio</w:t>
            </w:r>
          </w:p>
        </w:tc>
        <w:tc>
          <w:tcPr>
            <w:tcW w:w="6266" w:type="dxa"/>
            <w:vAlign w:val="center"/>
          </w:tcPr>
          <w:p w:rsidR="00B301C1" w:rsidRPr="008F26FE" w:rsidRDefault="00B301C1" w:rsidP="00332B80">
            <w:pPr>
              <w:spacing w:after="0" w:line="240" w:lineRule="auto"/>
            </w:pPr>
            <w:r>
              <w:t>Será comunicado oportunamente por mail.</w:t>
            </w:r>
          </w:p>
        </w:tc>
      </w:tr>
    </w:tbl>
    <w:p w:rsidR="00E34B23" w:rsidRDefault="00E34B23" w:rsidP="00B301C1">
      <w:pPr>
        <w:jc w:val="center"/>
        <w:rPr>
          <w:u w:val="single"/>
        </w:rPr>
      </w:pPr>
      <w:bookmarkStart w:id="3" w:name="_Hlk64539446"/>
      <w:bookmarkEnd w:id="0"/>
    </w:p>
    <w:p w:rsidR="00B301C1" w:rsidRDefault="00B301C1" w:rsidP="00B301C1">
      <w:pPr>
        <w:jc w:val="center"/>
        <w:rPr>
          <w:u w:val="single"/>
        </w:rPr>
      </w:pPr>
      <w:r w:rsidRPr="008F26FE">
        <w:rPr>
          <w:u w:val="single"/>
        </w:rPr>
        <w:t>FICHA PARA CONVOCATORIAS DOCENTES</w:t>
      </w:r>
    </w:p>
    <w:p w:rsidR="00B301C1" w:rsidRDefault="00B301C1" w:rsidP="00B301C1">
      <w:pPr>
        <w:jc w:val="center"/>
        <w:rPr>
          <w:u w:val="single"/>
        </w:rPr>
      </w:pPr>
    </w:p>
    <w:p w:rsidR="007600AC" w:rsidRDefault="007600AC" w:rsidP="00B301C1">
      <w:pPr>
        <w:rPr>
          <w:u w:val="single"/>
        </w:rPr>
      </w:pPr>
      <w:bookmarkStart w:id="4" w:name="_Hlk64533730"/>
    </w:p>
    <w:p w:rsidR="00B301C1" w:rsidRDefault="00B301C1" w:rsidP="00B301C1">
      <w:r w:rsidRPr="00254AE4">
        <w:rPr>
          <w:u w:val="single"/>
        </w:rPr>
        <w:t>Aclaraci</w:t>
      </w:r>
      <w:r>
        <w:rPr>
          <w:u w:val="single"/>
        </w:rPr>
        <w:t>ones</w:t>
      </w:r>
      <w:r>
        <w:t xml:space="preserve">: </w:t>
      </w:r>
    </w:p>
    <w:p w:rsidR="00B301C1" w:rsidRPr="00254AE4" w:rsidRDefault="00B301C1" w:rsidP="00B301C1">
      <w:pPr>
        <w:pStyle w:val="Prrafodelista"/>
        <w:numPr>
          <w:ilvl w:val="0"/>
          <w:numId w:val="1"/>
        </w:numPr>
        <w:ind w:left="284" w:hanging="284"/>
      </w:pPr>
      <w:r>
        <w:t>L</w:t>
      </w:r>
      <w:r w:rsidRPr="00254AE4">
        <w:t xml:space="preserve">as coberturas interinas quedan sujetas a la sustanciación del </w:t>
      </w:r>
      <w:r>
        <w:t>C</w:t>
      </w:r>
      <w:r w:rsidRPr="00254AE4">
        <w:t xml:space="preserve">oncurso por </w:t>
      </w:r>
      <w:r>
        <w:t>D</w:t>
      </w:r>
      <w:r w:rsidRPr="00254AE4">
        <w:t>ecreto 1151/</w:t>
      </w:r>
      <w:r>
        <w:t>GCBA</w:t>
      </w:r>
      <w:r w:rsidRPr="00254AE4">
        <w:t>/2003</w:t>
      </w:r>
    </w:p>
    <w:p w:rsidR="00B301C1" w:rsidRDefault="00B301C1" w:rsidP="00B301C1">
      <w:pPr>
        <w:pStyle w:val="Prrafodelista"/>
        <w:numPr>
          <w:ilvl w:val="0"/>
          <w:numId w:val="1"/>
        </w:numPr>
        <w:spacing w:after="6" w:line="240" w:lineRule="auto"/>
        <w:ind w:left="284" w:hanging="284"/>
        <w:jc w:val="both"/>
      </w:pPr>
      <w:r w:rsidRPr="00163044">
        <w:t xml:space="preserve">El Orden de Mérito alcanzado para cada incumbencia tendrá </w:t>
      </w:r>
      <w:r w:rsidRPr="00D1029E">
        <w:rPr>
          <w:b/>
        </w:rPr>
        <w:t>vigencia y validez máxima de 3 (tres) años</w:t>
      </w:r>
      <w:r>
        <w:t xml:space="preserve"> según lo establece la DI-2018-387-DGEART en su Anexo I.</w:t>
      </w:r>
    </w:p>
    <w:p w:rsidR="00B301C1" w:rsidRDefault="00B301C1" w:rsidP="00B301C1">
      <w:pPr>
        <w:spacing w:after="6" w:line="240" w:lineRule="auto"/>
        <w:jc w:val="both"/>
      </w:pPr>
    </w:p>
    <w:p w:rsidR="00B301C1" w:rsidRDefault="00B301C1" w:rsidP="00B301C1">
      <w:pPr>
        <w:spacing w:after="6" w:line="240" w:lineRule="auto"/>
        <w:jc w:val="both"/>
      </w:pPr>
    </w:p>
    <w:p w:rsidR="005D413A" w:rsidRDefault="005D413A" w:rsidP="00B301C1">
      <w:pPr>
        <w:spacing w:after="6" w:line="240" w:lineRule="auto"/>
        <w:jc w:val="both"/>
      </w:pPr>
      <w:bookmarkStart w:id="5" w:name="_Hlk64539667"/>
      <w:bookmarkEnd w:id="3"/>
    </w:p>
    <w:p w:rsidR="005D413A" w:rsidRDefault="005D413A" w:rsidP="00B301C1">
      <w:pPr>
        <w:spacing w:after="6" w:line="240" w:lineRule="auto"/>
        <w:jc w:val="both"/>
      </w:pPr>
    </w:p>
    <w:bookmarkEnd w:id="1"/>
    <w:bookmarkEnd w:id="4"/>
    <w:bookmarkEnd w:id="5"/>
    <w:p w:rsidR="00C56D84" w:rsidRDefault="00C56D84" w:rsidP="00C56D84">
      <w:pPr>
        <w:spacing w:after="6" w:line="240" w:lineRule="auto"/>
        <w:jc w:val="both"/>
      </w:pPr>
    </w:p>
    <w:p w:rsidR="00C56D84" w:rsidRDefault="00C56D84" w:rsidP="00C56D84">
      <w:pPr>
        <w:spacing w:after="6" w:line="240" w:lineRule="auto"/>
        <w:jc w:val="both"/>
      </w:pPr>
    </w:p>
    <w:p w:rsidR="008A75D9" w:rsidRDefault="008A75D9" w:rsidP="00301886">
      <w:pPr>
        <w:spacing w:after="6" w:line="240" w:lineRule="auto"/>
        <w:jc w:val="both"/>
        <w:rPr>
          <w:b/>
        </w:rPr>
      </w:pPr>
    </w:p>
    <w:p w:rsidR="008A75D9" w:rsidRDefault="008A75D9" w:rsidP="00301886">
      <w:pPr>
        <w:spacing w:after="6" w:line="240" w:lineRule="auto"/>
        <w:jc w:val="both"/>
        <w:rPr>
          <w:b/>
        </w:rPr>
      </w:pPr>
    </w:p>
    <w:p w:rsidR="00301886" w:rsidRDefault="00C56D84" w:rsidP="00301886">
      <w:pPr>
        <w:spacing w:after="6" w:line="240" w:lineRule="auto"/>
        <w:jc w:val="both"/>
      </w:pPr>
      <w:r w:rsidRPr="00D1029E">
        <w:rPr>
          <w:b/>
        </w:rPr>
        <w:t xml:space="preserve">(*) </w:t>
      </w:r>
      <w:r w:rsidRPr="002F01A0">
        <w:t>Extracto del Plan de Estudios.</w:t>
      </w:r>
    </w:p>
    <w:p w:rsidR="007600AC" w:rsidRDefault="007600AC" w:rsidP="00301886">
      <w:pPr>
        <w:spacing w:after="6" w:line="240" w:lineRule="auto"/>
        <w:jc w:val="both"/>
      </w:pPr>
    </w:p>
    <w:p w:rsidR="001F12E6" w:rsidRPr="001F12E6" w:rsidRDefault="001F12E6" w:rsidP="007600AC">
      <w:pPr>
        <w:autoSpaceDE w:val="0"/>
        <w:autoSpaceDN w:val="0"/>
        <w:adjustRightInd w:val="0"/>
        <w:spacing w:after="0" w:line="240" w:lineRule="auto"/>
        <w:jc w:val="both"/>
        <w:rPr>
          <w:b/>
        </w:rPr>
      </w:pPr>
      <w:r w:rsidRPr="001F12E6">
        <w:rPr>
          <w:b/>
        </w:rPr>
        <w:t xml:space="preserve">Fundamentación </w:t>
      </w:r>
    </w:p>
    <w:p w:rsidR="001F12E6" w:rsidRDefault="001F12E6" w:rsidP="007600AC">
      <w:pPr>
        <w:autoSpaceDE w:val="0"/>
        <w:autoSpaceDN w:val="0"/>
        <w:adjustRightInd w:val="0"/>
        <w:spacing w:after="0" w:line="240" w:lineRule="auto"/>
        <w:jc w:val="both"/>
      </w:pPr>
      <w:r>
        <w:t xml:space="preserve">La presencia de espacios de formación artística en diversos contextos educativos brinda la posibilidad de ofrecer a los estudiantes, futuros docentes del área, una variedad de experiencias que superan la mera inserción en la escuela formal. La residencia constituye el período de profundización e integración del recorrido formativo realizado hasta el momento y coloca al futuro docente, de manera intensiva y sistemática, en los contextos reales de desarrollo de su profesión y más </w:t>
      </w:r>
      <w:proofErr w:type="gramStart"/>
      <w:r>
        <w:t>próximo</w:t>
      </w:r>
      <w:proofErr w:type="gramEnd"/>
      <w:r>
        <w:t xml:space="preserve"> al ritmo que adopta el trabajo de dar clases durante un período de tiempo continuo. En esta instancia, se enfrentan al conjunto de decisiones programadas para la enseñanza y también a aquellas que emergen de lo inesperado y que la situación de práctica presenta en la cotidianeidad educativa. Hay intencionalidad de configurar un espacio que favorezca la incorporación de los estudiantes en los contextos profesionales reales, de tal modo que puedan experimentar la complejidad del trabajo docente. A su vez, en esta instancia los estudiantes recuperan y ponen en práctica los saberes y conocimientos adquiridos a lo largo de su formación, contextualizándolos a la realidad educativa en la cual intervienen así como la reflexión sobre el sentido formativo de la disciplina en los diversos contextos educativos. La residencia se articula con espacios de reflexión que permitan la reconstrucción crítica de la experiencia, individual y colectiva, y la generación de instancias para la contención, orientación y construcción colectiva de significados entre estudiantes y docentes. Por otra parte, a lo largo de la formación en este tramo, si bien hay un foco puesto en la intervención sistemática y continua, resulta relevante poder combinar el trabajo conceptual y el trabajo de intervención mediado por la reflexión y análisis permanente acerca de aquello que se pretende hacer y lo que efectivamente se hace en los contextos singulares. Ésta es una forma de fortalecer los marcos interpretativos de los futuros docentes acerca de su tarea y de los contextos complejos en los que se realiza. </w:t>
      </w:r>
    </w:p>
    <w:p w:rsidR="001F12E6" w:rsidRDefault="001F12E6" w:rsidP="007600AC">
      <w:pPr>
        <w:autoSpaceDE w:val="0"/>
        <w:autoSpaceDN w:val="0"/>
        <w:adjustRightInd w:val="0"/>
        <w:spacing w:after="0" w:line="240" w:lineRule="auto"/>
        <w:jc w:val="both"/>
      </w:pPr>
    </w:p>
    <w:p w:rsidR="001F12E6" w:rsidRPr="001F12E6" w:rsidRDefault="001F12E6" w:rsidP="007600AC">
      <w:pPr>
        <w:autoSpaceDE w:val="0"/>
        <w:autoSpaceDN w:val="0"/>
        <w:adjustRightInd w:val="0"/>
        <w:spacing w:after="0" w:line="240" w:lineRule="auto"/>
        <w:jc w:val="both"/>
        <w:rPr>
          <w:b/>
        </w:rPr>
      </w:pPr>
      <w:r w:rsidRPr="001F12E6">
        <w:rPr>
          <w:b/>
        </w:rPr>
        <w:t xml:space="preserve">TALLER: La residencia con distintos sujetos en contextos diversos </w:t>
      </w:r>
    </w:p>
    <w:p w:rsidR="001F12E6" w:rsidRDefault="001F12E6" w:rsidP="007600AC">
      <w:pPr>
        <w:autoSpaceDE w:val="0"/>
        <w:autoSpaceDN w:val="0"/>
        <w:adjustRightInd w:val="0"/>
        <w:spacing w:after="0" w:line="240" w:lineRule="auto"/>
        <w:jc w:val="both"/>
      </w:pPr>
    </w:p>
    <w:p w:rsidR="001F12E6" w:rsidRPr="001F12E6" w:rsidRDefault="001F12E6" w:rsidP="007600AC">
      <w:pPr>
        <w:autoSpaceDE w:val="0"/>
        <w:autoSpaceDN w:val="0"/>
        <w:adjustRightInd w:val="0"/>
        <w:spacing w:after="0" w:line="240" w:lineRule="auto"/>
        <w:jc w:val="both"/>
        <w:rPr>
          <w:b/>
        </w:rPr>
      </w:pPr>
      <w:r w:rsidRPr="001F12E6">
        <w:rPr>
          <w:b/>
        </w:rPr>
        <w:t xml:space="preserve">Objetivos </w:t>
      </w:r>
    </w:p>
    <w:p w:rsidR="001F12E6" w:rsidRDefault="001F12E6" w:rsidP="007600AC">
      <w:pPr>
        <w:autoSpaceDE w:val="0"/>
        <w:autoSpaceDN w:val="0"/>
        <w:adjustRightInd w:val="0"/>
        <w:spacing w:after="0" w:line="240" w:lineRule="auto"/>
        <w:jc w:val="both"/>
      </w:pPr>
      <w:r>
        <w:sym w:font="Symbol" w:char="F0B7"/>
      </w:r>
      <w:r>
        <w:t xml:space="preserve"> Conocer y reflexionar sobre las particularidades de los sujetos con los que desarrollarán su residencia a fin de diseñar propuestas de enseñanza pertinentes. </w:t>
      </w:r>
    </w:p>
    <w:p w:rsidR="001F12E6" w:rsidRDefault="001F12E6" w:rsidP="007600AC">
      <w:pPr>
        <w:autoSpaceDE w:val="0"/>
        <w:autoSpaceDN w:val="0"/>
        <w:adjustRightInd w:val="0"/>
        <w:spacing w:after="0" w:line="240" w:lineRule="auto"/>
        <w:jc w:val="both"/>
      </w:pPr>
      <w:r>
        <w:sym w:font="Symbol" w:char="F0B7"/>
      </w:r>
      <w:r>
        <w:t xml:space="preserve"> Propiciar la integración de los saberes aprendidos en los demás espacios curriculares. </w:t>
      </w:r>
    </w:p>
    <w:p w:rsidR="001F12E6" w:rsidRDefault="001F12E6" w:rsidP="007600AC">
      <w:pPr>
        <w:autoSpaceDE w:val="0"/>
        <w:autoSpaceDN w:val="0"/>
        <w:adjustRightInd w:val="0"/>
        <w:spacing w:after="0" w:line="240" w:lineRule="auto"/>
        <w:jc w:val="both"/>
      </w:pPr>
      <w:r>
        <w:sym w:font="Symbol" w:char="F0B7"/>
      </w:r>
      <w:r>
        <w:t xml:space="preserve"> Generar situaciones para que los estudiantes pongan en juego las herramientas </w:t>
      </w:r>
      <w:proofErr w:type="spellStart"/>
      <w:r>
        <w:t>teóricoprácticas</w:t>
      </w:r>
      <w:proofErr w:type="spellEnd"/>
      <w:r>
        <w:t xml:space="preserve"> adquiridas en torno a la observación, el diagnóstico, la planificación, el diseño, la puesta en práctica y la evaluación de las propias propuestas curriculares para la enseñanza de la Música. </w:t>
      </w:r>
    </w:p>
    <w:p w:rsidR="001F12E6" w:rsidRDefault="001F12E6" w:rsidP="007600AC">
      <w:pPr>
        <w:autoSpaceDE w:val="0"/>
        <w:autoSpaceDN w:val="0"/>
        <w:adjustRightInd w:val="0"/>
        <w:spacing w:after="0" w:line="240" w:lineRule="auto"/>
        <w:jc w:val="both"/>
      </w:pPr>
      <w:r>
        <w:sym w:font="Symbol" w:char="F0B7"/>
      </w:r>
      <w:r>
        <w:t xml:space="preserve"> Seleccionar y elaborar recursos y materiales didácticos específicos para el desarrollo de clases de Música en diferentes contextos educativos y para diversos destinatarios. </w:t>
      </w:r>
      <w:r>
        <w:t xml:space="preserve"> </w:t>
      </w:r>
    </w:p>
    <w:p w:rsidR="001F12E6" w:rsidRDefault="001F12E6" w:rsidP="007600AC">
      <w:pPr>
        <w:autoSpaceDE w:val="0"/>
        <w:autoSpaceDN w:val="0"/>
        <w:adjustRightInd w:val="0"/>
        <w:spacing w:after="0" w:line="240" w:lineRule="auto"/>
        <w:jc w:val="both"/>
      </w:pPr>
      <w:r>
        <w:sym w:font="Symbol" w:char="F0B7"/>
      </w:r>
      <w:r>
        <w:t xml:space="preserve"> Identificar la instancia de la residencia como una anticipación de la labor conceptual y metodológica del trabajo docente. </w:t>
      </w:r>
    </w:p>
    <w:p w:rsidR="001F12E6" w:rsidRDefault="001F12E6" w:rsidP="007600AC">
      <w:pPr>
        <w:autoSpaceDE w:val="0"/>
        <w:autoSpaceDN w:val="0"/>
        <w:adjustRightInd w:val="0"/>
        <w:spacing w:after="0" w:line="240" w:lineRule="auto"/>
        <w:jc w:val="both"/>
      </w:pPr>
      <w:r>
        <w:sym w:font="Symbol" w:char="F0B7"/>
      </w:r>
      <w:r>
        <w:t xml:space="preserve"> Reflexionar sobre la identidad docente, a partir del impacto en la construcción de la experiencia de este tramo de formación. </w:t>
      </w:r>
    </w:p>
    <w:p w:rsidR="001F12E6" w:rsidRDefault="001F12E6" w:rsidP="007600AC">
      <w:pPr>
        <w:autoSpaceDE w:val="0"/>
        <w:autoSpaceDN w:val="0"/>
        <w:adjustRightInd w:val="0"/>
        <w:spacing w:after="0" w:line="240" w:lineRule="auto"/>
        <w:jc w:val="both"/>
      </w:pPr>
      <w:r>
        <w:sym w:font="Symbol" w:char="F0B7"/>
      </w:r>
      <w:r>
        <w:t xml:space="preserve"> Analizar y reflexionar críticamente sobre su propio desarrollo del rol docente y el de sus pares en situaciones de enseñanza en el nivel superior y específicamente en la formación docente. </w:t>
      </w:r>
    </w:p>
    <w:p w:rsidR="001F12E6" w:rsidRDefault="001F12E6" w:rsidP="007600AC">
      <w:pPr>
        <w:autoSpaceDE w:val="0"/>
        <w:autoSpaceDN w:val="0"/>
        <w:adjustRightInd w:val="0"/>
        <w:spacing w:after="0" w:line="240" w:lineRule="auto"/>
        <w:jc w:val="both"/>
      </w:pPr>
      <w:r>
        <w:sym w:font="Symbol" w:char="F0B7"/>
      </w:r>
      <w:r>
        <w:t xml:space="preserve"> Generar instancias para </w:t>
      </w:r>
      <w:proofErr w:type="spellStart"/>
      <w:r>
        <w:t>reconceptualizar</w:t>
      </w:r>
      <w:proofErr w:type="spellEnd"/>
      <w:r>
        <w:t xml:space="preserve"> los procesos de socialización laboral en los contextos educativos formales, no formales e informales, a la luz de la experiencia de la residencia. </w:t>
      </w:r>
    </w:p>
    <w:p w:rsidR="001F12E6" w:rsidRDefault="001F12E6" w:rsidP="007600AC">
      <w:pPr>
        <w:autoSpaceDE w:val="0"/>
        <w:autoSpaceDN w:val="0"/>
        <w:adjustRightInd w:val="0"/>
        <w:spacing w:after="0" w:line="240" w:lineRule="auto"/>
        <w:jc w:val="both"/>
      </w:pPr>
    </w:p>
    <w:p w:rsidR="001F12E6" w:rsidRDefault="001F12E6" w:rsidP="007600AC">
      <w:pPr>
        <w:autoSpaceDE w:val="0"/>
        <w:autoSpaceDN w:val="0"/>
        <w:adjustRightInd w:val="0"/>
        <w:spacing w:after="0" w:line="240" w:lineRule="auto"/>
        <w:jc w:val="both"/>
      </w:pPr>
    </w:p>
    <w:p w:rsidR="001F12E6" w:rsidRDefault="001F12E6" w:rsidP="007600AC">
      <w:pPr>
        <w:autoSpaceDE w:val="0"/>
        <w:autoSpaceDN w:val="0"/>
        <w:adjustRightInd w:val="0"/>
        <w:spacing w:after="0" w:line="240" w:lineRule="auto"/>
        <w:jc w:val="both"/>
      </w:pPr>
    </w:p>
    <w:p w:rsidR="001F12E6" w:rsidRPr="001F12E6" w:rsidRDefault="001F12E6" w:rsidP="007600AC">
      <w:pPr>
        <w:autoSpaceDE w:val="0"/>
        <w:autoSpaceDN w:val="0"/>
        <w:adjustRightInd w:val="0"/>
        <w:spacing w:after="0" w:line="240" w:lineRule="auto"/>
        <w:jc w:val="both"/>
        <w:rPr>
          <w:b/>
        </w:rPr>
      </w:pPr>
      <w:r w:rsidRPr="001F12E6">
        <w:rPr>
          <w:b/>
        </w:rPr>
        <w:t xml:space="preserve">Ejes de contenido </w:t>
      </w:r>
    </w:p>
    <w:p w:rsidR="001F12E6" w:rsidRDefault="001F12E6" w:rsidP="007600AC">
      <w:pPr>
        <w:autoSpaceDE w:val="0"/>
        <w:autoSpaceDN w:val="0"/>
        <w:adjustRightInd w:val="0"/>
        <w:spacing w:after="0" w:line="240" w:lineRule="auto"/>
        <w:jc w:val="both"/>
      </w:pPr>
      <w:r>
        <w:t xml:space="preserve">1. La construcción de la experiencia de “ser docente”: la profesión docente. El tránsito de la formación desde la perspectiva del residente. Lo subjetivo y lo objetivable. La autobiografía escolar y la construcción de la identidad docente: diálogos con la socialización laboral. El trabajo docente en la actualidad: dilemas, conflictos y tensiones. Diario de Formación. </w:t>
      </w:r>
    </w:p>
    <w:p w:rsidR="001F12E6" w:rsidRDefault="001F12E6" w:rsidP="007600AC">
      <w:pPr>
        <w:autoSpaceDE w:val="0"/>
        <w:autoSpaceDN w:val="0"/>
        <w:adjustRightInd w:val="0"/>
        <w:spacing w:after="0" w:line="240" w:lineRule="auto"/>
        <w:jc w:val="both"/>
      </w:pPr>
      <w:r>
        <w:t xml:space="preserve">2. Las propuestas de enseñanza. Diseño de propuestas de enseñanza en secuencias temporales de mayor extensión e implementación. La elaboración de secuencias didácticas. La selección y/o producción de materiales y recursos didácticos. La evaluación en la enseñanza. </w:t>
      </w:r>
    </w:p>
    <w:p w:rsidR="001F12E6" w:rsidRDefault="001F12E6" w:rsidP="007600AC">
      <w:pPr>
        <w:autoSpaceDE w:val="0"/>
        <w:autoSpaceDN w:val="0"/>
        <w:adjustRightInd w:val="0"/>
        <w:spacing w:after="0" w:line="240" w:lineRule="auto"/>
        <w:jc w:val="both"/>
      </w:pPr>
      <w:r>
        <w:t xml:space="preserve">3. La investigación acción en la enseñanza. Encuadre epistemológico. La investigación acción: modalidades, fases, técnicas. Paradigma de la reflexión. El profesor como profesional reflexivo. Incidentes críticos. La reconstrucción crítica de la experiencia docente. Ateneo. La </w:t>
      </w:r>
      <w:proofErr w:type="spellStart"/>
      <w:r>
        <w:t>narratividad</w:t>
      </w:r>
      <w:proofErr w:type="spellEnd"/>
      <w:r>
        <w:t xml:space="preserve"> en la enseñanza. </w:t>
      </w:r>
    </w:p>
    <w:p w:rsidR="001F12E6" w:rsidRDefault="001F12E6" w:rsidP="007600AC">
      <w:pPr>
        <w:autoSpaceDE w:val="0"/>
        <w:autoSpaceDN w:val="0"/>
        <w:adjustRightInd w:val="0"/>
        <w:spacing w:after="0" w:line="240" w:lineRule="auto"/>
        <w:jc w:val="both"/>
      </w:pPr>
      <w:r>
        <w:t xml:space="preserve">4. Trabajo por proyecto. Condiciones institucionales para la puesta en marcha de un proyecto. Establecimiento de metas de acuerdo con el ámbito de desarrollo y los destinatarios; planificación de tareas, periodización, administración de tiempos y recursos. Seguimiento y evaluación. Reflexiones y análisis de los resultados. </w:t>
      </w:r>
    </w:p>
    <w:p w:rsidR="007600AC" w:rsidRPr="00686BD0" w:rsidRDefault="001F12E6" w:rsidP="007600AC">
      <w:pPr>
        <w:autoSpaceDE w:val="0"/>
        <w:autoSpaceDN w:val="0"/>
        <w:adjustRightInd w:val="0"/>
        <w:spacing w:after="0" w:line="240" w:lineRule="auto"/>
        <w:jc w:val="both"/>
        <w:rPr>
          <w:rFonts w:ascii="Arial" w:hAnsi="Arial" w:cs="Arial"/>
        </w:rPr>
      </w:pPr>
      <w:r>
        <w:t>5. Residencia en la Institución Asociada. Observación y análisis de propuestas curriculares e institucionales de enseñanza en establecimientos los diversos niveles, incluyendo aquellos de Educación Artística Específica. Realización de una residencia docente diseñando e implementando propuestas de enseñanza en el nivel que le corresponda en espacios curriculares acordes al alcance de su título.</w:t>
      </w:r>
    </w:p>
    <w:p w:rsidR="00301886" w:rsidRDefault="00301886" w:rsidP="00301886">
      <w:pPr>
        <w:spacing w:after="6" w:line="240" w:lineRule="auto"/>
        <w:jc w:val="both"/>
      </w:pPr>
    </w:p>
    <w:p w:rsidR="00C56D84" w:rsidRPr="00160737" w:rsidRDefault="00C56D84" w:rsidP="0016073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lang w:val="es-ES"/>
        </w:rPr>
      </w:pPr>
      <w:r w:rsidRPr="00160737">
        <w:rPr>
          <w:rFonts w:asciiTheme="minorHAnsi" w:hAnsiTheme="minorHAnsi" w:cstheme="minorHAnsi"/>
          <w:lang w:val="es-ES"/>
        </w:rPr>
        <w:t>Se sugiere consultar la estructura de los planes vigentes en la web del Conservatorio a fin de comprender el contexto de esta unidad curricular dentro de toda la carrera.</w:t>
      </w:r>
    </w:p>
    <w:p w:rsidR="00C56D84" w:rsidRPr="00160737" w:rsidRDefault="00086F4F" w:rsidP="0016073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lang w:val="es-ES"/>
        </w:rPr>
      </w:pPr>
      <w:hyperlink r:id="rId8" w:tgtFrame="_blank" w:history="1">
        <w:r w:rsidR="00C56D84" w:rsidRPr="00160737">
          <w:rPr>
            <w:rStyle w:val="Hipervnculo"/>
            <w:rFonts w:asciiTheme="minorHAnsi" w:hAnsiTheme="minorHAnsi" w:cstheme="minorHAnsi"/>
            <w:color w:val="1155CC"/>
            <w:shd w:val="clear" w:color="auto" w:fill="FFFFFF"/>
            <w:lang w:val="es-ES"/>
          </w:rPr>
          <w:t>https://cmfalla-caba.infd.edu.ar/sitio/area-academica/</w:t>
        </w:r>
      </w:hyperlink>
      <w:r w:rsidR="00C56D84" w:rsidRPr="00160737">
        <w:rPr>
          <w:rFonts w:asciiTheme="minorHAnsi" w:hAnsiTheme="minorHAnsi" w:cstheme="minorHAnsi"/>
          <w:color w:val="222222"/>
          <w:shd w:val="clear" w:color="auto" w:fill="FFFFFF"/>
          <w:lang w:val="es-ES"/>
        </w:rPr>
        <w:t> </w:t>
      </w:r>
    </w:p>
    <w:sectPr w:rsidR="00C56D84" w:rsidRPr="00160737" w:rsidSect="00332B80">
      <w:headerReference w:type="default" r:id="rId9"/>
      <w:pgSz w:w="11906" w:h="16838"/>
      <w:pgMar w:top="1417" w:right="1416"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4F" w:rsidRDefault="00086F4F">
      <w:pPr>
        <w:spacing w:after="0" w:line="240" w:lineRule="auto"/>
      </w:pPr>
      <w:r>
        <w:separator/>
      </w:r>
    </w:p>
  </w:endnote>
  <w:endnote w:type="continuationSeparator" w:id="0">
    <w:p w:rsidR="00086F4F" w:rsidRDefault="0008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4F" w:rsidRDefault="00086F4F">
      <w:pPr>
        <w:spacing w:after="0" w:line="240" w:lineRule="auto"/>
      </w:pPr>
      <w:r>
        <w:separator/>
      </w:r>
    </w:p>
  </w:footnote>
  <w:footnote w:type="continuationSeparator" w:id="0">
    <w:p w:rsidR="00086F4F" w:rsidRDefault="00086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80" w:rsidRPr="00E34B23" w:rsidRDefault="00B74882">
    <w:pPr>
      <w:pStyle w:val="Encabezado"/>
      <w:rPr>
        <w:rFonts w:cs="Calibri"/>
        <w:b/>
      </w:rPr>
    </w:pPr>
    <w:bookmarkStart w:id="6" w:name="_Hlk63940286"/>
    <w:bookmarkStart w:id="7" w:name="_Hlk63940287"/>
    <w:r>
      <w:rPr>
        <w:noProof/>
        <w:lang w:eastAsia="es-AR"/>
      </w:rPr>
      <w:drawing>
        <wp:anchor distT="0" distB="0" distL="114300" distR="114300" simplePos="0" relativeHeight="251657728" behindDoc="0" locked="0" layoutInCell="1" allowOverlap="1">
          <wp:simplePos x="0" y="0"/>
          <wp:positionH relativeFrom="margin">
            <wp:posOffset>-228600</wp:posOffset>
          </wp:positionH>
          <wp:positionV relativeFrom="margin">
            <wp:posOffset>-623570</wp:posOffset>
          </wp:positionV>
          <wp:extent cx="1962150" cy="895350"/>
          <wp:effectExtent l="0" t="0" r="0" b="0"/>
          <wp:wrapSquare wrapText="bothSides"/>
          <wp:docPr id="1" name="Imagen 1" descr="logos_falla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_falla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95350"/>
                  </a:xfrm>
                  <a:prstGeom prst="rect">
                    <a:avLst/>
                  </a:prstGeom>
                  <a:noFill/>
                  <a:ln>
                    <a:noFill/>
                  </a:ln>
                </pic:spPr>
              </pic:pic>
            </a:graphicData>
          </a:graphic>
        </wp:anchor>
      </w:drawing>
    </w:r>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5108"/>
    <w:multiLevelType w:val="hybridMultilevel"/>
    <w:tmpl w:val="D012D70E"/>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CD17AA7"/>
    <w:multiLevelType w:val="hybridMultilevel"/>
    <w:tmpl w:val="9CA60954"/>
    <w:lvl w:ilvl="0" w:tplc="2240331A">
      <w:start w:val="1"/>
      <w:numFmt w:val="decimal"/>
      <w:lvlText w:val="%1."/>
      <w:lvlJc w:val="left"/>
      <w:pPr>
        <w:ind w:left="644" w:hanging="360"/>
      </w:pPr>
      <w:rPr>
        <w:rFonts w:hint="default"/>
        <w:b/>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2" w15:restartNumberingAfterBreak="0">
    <w:nsid w:val="417A2AB7"/>
    <w:multiLevelType w:val="hybridMultilevel"/>
    <w:tmpl w:val="1940340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9AC6566"/>
    <w:multiLevelType w:val="hybridMultilevel"/>
    <w:tmpl w:val="7EB2E5EE"/>
    <w:lvl w:ilvl="0" w:tplc="DB68A7D0">
      <w:start w:val="1"/>
      <w:numFmt w:val="decimal"/>
      <w:lvlText w:val="%1."/>
      <w:lvlJc w:val="left"/>
      <w:pPr>
        <w:ind w:left="85" w:hanging="360"/>
      </w:pPr>
      <w:rPr>
        <w:rFonts w:hint="default"/>
        <w:b/>
      </w:rPr>
    </w:lvl>
    <w:lvl w:ilvl="1" w:tplc="2C0A0019" w:tentative="1">
      <w:start w:val="1"/>
      <w:numFmt w:val="lowerLetter"/>
      <w:lvlText w:val="%2."/>
      <w:lvlJc w:val="left"/>
      <w:pPr>
        <w:ind w:left="805" w:hanging="360"/>
      </w:pPr>
    </w:lvl>
    <w:lvl w:ilvl="2" w:tplc="2C0A001B" w:tentative="1">
      <w:start w:val="1"/>
      <w:numFmt w:val="lowerRoman"/>
      <w:lvlText w:val="%3."/>
      <w:lvlJc w:val="right"/>
      <w:pPr>
        <w:ind w:left="1525" w:hanging="180"/>
      </w:pPr>
    </w:lvl>
    <w:lvl w:ilvl="3" w:tplc="2C0A000F" w:tentative="1">
      <w:start w:val="1"/>
      <w:numFmt w:val="decimal"/>
      <w:lvlText w:val="%4."/>
      <w:lvlJc w:val="left"/>
      <w:pPr>
        <w:ind w:left="2245" w:hanging="360"/>
      </w:pPr>
    </w:lvl>
    <w:lvl w:ilvl="4" w:tplc="2C0A0019" w:tentative="1">
      <w:start w:val="1"/>
      <w:numFmt w:val="lowerLetter"/>
      <w:lvlText w:val="%5."/>
      <w:lvlJc w:val="left"/>
      <w:pPr>
        <w:ind w:left="2965" w:hanging="360"/>
      </w:pPr>
    </w:lvl>
    <w:lvl w:ilvl="5" w:tplc="2C0A001B" w:tentative="1">
      <w:start w:val="1"/>
      <w:numFmt w:val="lowerRoman"/>
      <w:lvlText w:val="%6."/>
      <w:lvlJc w:val="right"/>
      <w:pPr>
        <w:ind w:left="3685" w:hanging="180"/>
      </w:pPr>
    </w:lvl>
    <w:lvl w:ilvl="6" w:tplc="2C0A000F" w:tentative="1">
      <w:start w:val="1"/>
      <w:numFmt w:val="decimal"/>
      <w:lvlText w:val="%7."/>
      <w:lvlJc w:val="left"/>
      <w:pPr>
        <w:ind w:left="4405" w:hanging="360"/>
      </w:pPr>
    </w:lvl>
    <w:lvl w:ilvl="7" w:tplc="2C0A0019" w:tentative="1">
      <w:start w:val="1"/>
      <w:numFmt w:val="lowerLetter"/>
      <w:lvlText w:val="%8."/>
      <w:lvlJc w:val="left"/>
      <w:pPr>
        <w:ind w:left="5125" w:hanging="360"/>
      </w:pPr>
    </w:lvl>
    <w:lvl w:ilvl="8" w:tplc="2C0A001B" w:tentative="1">
      <w:start w:val="1"/>
      <w:numFmt w:val="lowerRoman"/>
      <w:lvlText w:val="%9."/>
      <w:lvlJc w:val="right"/>
      <w:pPr>
        <w:ind w:left="5845" w:hanging="180"/>
      </w:pPr>
    </w:lvl>
  </w:abstractNum>
  <w:abstractNum w:abstractNumId="4" w15:restartNumberingAfterBreak="0">
    <w:nsid w:val="5FE34554"/>
    <w:multiLevelType w:val="hybridMultilevel"/>
    <w:tmpl w:val="E6BA1E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DAF2B50"/>
    <w:multiLevelType w:val="hybridMultilevel"/>
    <w:tmpl w:val="C696F1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1912147"/>
    <w:multiLevelType w:val="hybridMultilevel"/>
    <w:tmpl w:val="B890056E"/>
    <w:lvl w:ilvl="0" w:tplc="8134203C">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83964ED"/>
    <w:multiLevelType w:val="hybridMultilevel"/>
    <w:tmpl w:val="A302341A"/>
    <w:lvl w:ilvl="0" w:tplc="AA32F1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14755"/>
    <w:multiLevelType w:val="hybridMultilevel"/>
    <w:tmpl w:val="E0FA610C"/>
    <w:lvl w:ilvl="0" w:tplc="901E7A76">
      <w:start w:val="1"/>
      <w:numFmt w:val="decimal"/>
      <w:lvlText w:val="%1."/>
      <w:lvlJc w:val="left"/>
      <w:pPr>
        <w:ind w:left="502"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A893449"/>
    <w:multiLevelType w:val="hybridMultilevel"/>
    <w:tmpl w:val="9D229744"/>
    <w:lvl w:ilvl="0" w:tplc="060EBBC2">
      <w:start w:val="3"/>
      <w:numFmt w:val="decimal"/>
      <w:lvlText w:val="%1."/>
      <w:lvlJc w:val="left"/>
      <w:pPr>
        <w:ind w:left="85" w:hanging="360"/>
      </w:pPr>
      <w:rPr>
        <w:rFonts w:hint="default"/>
        <w:b/>
      </w:rPr>
    </w:lvl>
    <w:lvl w:ilvl="1" w:tplc="2C0A0019" w:tentative="1">
      <w:start w:val="1"/>
      <w:numFmt w:val="lowerLetter"/>
      <w:lvlText w:val="%2."/>
      <w:lvlJc w:val="left"/>
      <w:pPr>
        <w:ind w:left="805" w:hanging="360"/>
      </w:pPr>
    </w:lvl>
    <w:lvl w:ilvl="2" w:tplc="2C0A001B" w:tentative="1">
      <w:start w:val="1"/>
      <w:numFmt w:val="lowerRoman"/>
      <w:lvlText w:val="%3."/>
      <w:lvlJc w:val="right"/>
      <w:pPr>
        <w:ind w:left="1525" w:hanging="180"/>
      </w:pPr>
    </w:lvl>
    <w:lvl w:ilvl="3" w:tplc="2C0A000F" w:tentative="1">
      <w:start w:val="1"/>
      <w:numFmt w:val="decimal"/>
      <w:lvlText w:val="%4."/>
      <w:lvlJc w:val="left"/>
      <w:pPr>
        <w:ind w:left="2245" w:hanging="360"/>
      </w:pPr>
    </w:lvl>
    <w:lvl w:ilvl="4" w:tplc="2C0A0019" w:tentative="1">
      <w:start w:val="1"/>
      <w:numFmt w:val="lowerLetter"/>
      <w:lvlText w:val="%5."/>
      <w:lvlJc w:val="left"/>
      <w:pPr>
        <w:ind w:left="2965" w:hanging="360"/>
      </w:pPr>
    </w:lvl>
    <w:lvl w:ilvl="5" w:tplc="2C0A001B" w:tentative="1">
      <w:start w:val="1"/>
      <w:numFmt w:val="lowerRoman"/>
      <w:lvlText w:val="%6."/>
      <w:lvlJc w:val="right"/>
      <w:pPr>
        <w:ind w:left="3685" w:hanging="180"/>
      </w:pPr>
    </w:lvl>
    <w:lvl w:ilvl="6" w:tplc="2C0A000F" w:tentative="1">
      <w:start w:val="1"/>
      <w:numFmt w:val="decimal"/>
      <w:lvlText w:val="%7."/>
      <w:lvlJc w:val="left"/>
      <w:pPr>
        <w:ind w:left="4405" w:hanging="360"/>
      </w:pPr>
    </w:lvl>
    <w:lvl w:ilvl="7" w:tplc="2C0A0019" w:tentative="1">
      <w:start w:val="1"/>
      <w:numFmt w:val="lowerLetter"/>
      <w:lvlText w:val="%8."/>
      <w:lvlJc w:val="left"/>
      <w:pPr>
        <w:ind w:left="5125" w:hanging="360"/>
      </w:pPr>
    </w:lvl>
    <w:lvl w:ilvl="8" w:tplc="2C0A001B" w:tentative="1">
      <w:start w:val="1"/>
      <w:numFmt w:val="lowerRoman"/>
      <w:lvlText w:val="%9."/>
      <w:lvlJc w:val="right"/>
      <w:pPr>
        <w:ind w:left="5845" w:hanging="180"/>
      </w:pPr>
    </w:lvl>
  </w:abstractNum>
  <w:num w:numId="1">
    <w:abstractNumId w:val="2"/>
  </w:num>
  <w:num w:numId="2">
    <w:abstractNumId w:val="7"/>
  </w:num>
  <w:num w:numId="3">
    <w:abstractNumId w:val="3"/>
  </w:num>
  <w:num w:numId="4">
    <w:abstractNumId w:val="9"/>
  </w:num>
  <w:num w:numId="5">
    <w:abstractNumId w:val="4"/>
  </w:num>
  <w:num w:numId="6">
    <w:abstractNumId w:val="8"/>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C1"/>
    <w:rsid w:val="00011DBF"/>
    <w:rsid w:val="000122A1"/>
    <w:rsid w:val="00016213"/>
    <w:rsid w:val="0004584F"/>
    <w:rsid w:val="00051283"/>
    <w:rsid w:val="00086F4F"/>
    <w:rsid w:val="000A5259"/>
    <w:rsid w:val="000A761E"/>
    <w:rsid w:val="000E0756"/>
    <w:rsid w:val="000E5288"/>
    <w:rsid w:val="0014099A"/>
    <w:rsid w:val="001430F1"/>
    <w:rsid w:val="00145D6E"/>
    <w:rsid w:val="00150171"/>
    <w:rsid w:val="00160737"/>
    <w:rsid w:val="001B5974"/>
    <w:rsid w:val="001F12E6"/>
    <w:rsid w:val="0024244C"/>
    <w:rsid w:val="00254FAE"/>
    <w:rsid w:val="00270A8B"/>
    <w:rsid w:val="002C1048"/>
    <w:rsid w:val="002E021B"/>
    <w:rsid w:val="002F01F0"/>
    <w:rsid w:val="002F42EE"/>
    <w:rsid w:val="00301886"/>
    <w:rsid w:val="00332B80"/>
    <w:rsid w:val="00394032"/>
    <w:rsid w:val="00395CAF"/>
    <w:rsid w:val="003A398E"/>
    <w:rsid w:val="003B79BE"/>
    <w:rsid w:val="003E7F45"/>
    <w:rsid w:val="004526EB"/>
    <w:rsid w:val="00462EE9"/>
    <w:rsid w:val="0050280C"/>
    <w:rsid w:val="00564042"/>
    <w:rsid w:val="00570D05"/>
    <w:rsid w:val="005D413A"/>
    <w:rsid w:val="005E103A"/>
    <w:rsid w:val="005E5C16"/>
    <w:rsid w:val="006A37C1"/>
    <w:rsid w:val="006D47CF"/>
    <w:rsid w:val="0071619C"/>
    <w:rsid w:val="00751582"/>
    <w:rsid w:val="007600AC"/>
    <w:rsid w:val="00850E30"/>
    <w:rsid w:val="008A75D9"/>
    <w:rsid w:val="008B2FAA"/>
    <w:rsid w:val="00930F29"/>
    <w:rsid w:val="00937A21"/>
    <w:rsid w:val="009433B7"/>
    <w:rsid w:val="00983148"/>
    <w:rsid w:val="009E2C26"/>
    <w:rsid w:val="00A67524"/>
    <w:rsid w:val="00AC38A6"/>
    <w:rsid w:val="00B301C1"/>
    <w:rsid w:val="00B4237A"/>
    <w:rsid w:val="00B721A4"/>
    <w:rsid w:val="00B74882"/>
    <w:rsid w:val="00BC1536"/>
    <w:rsid w:val="00BC5CA2"/>
    <w:rsid w:val="00BC7CBC"/>
    <w:rsid w:val="00C56D84"/>
    <w:rsid w:val="00D4464C"/>
    <w:rsid w:val="00DF3849"/>
    <w:rsid w:val="00E34B23"/>
    <w:rsid w:val="00E66F4A"/>
    <w:rsid w:val="00EF5D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099149-129E-4ABB-BD55-9A85E638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1C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1C1"/>
    <w:pPr>
      <w:tabs>
        <w:tab w:val="center" w:pos="4252"/>
        <w:tab w:val="right" w:pos="8504"/>
      </w:tabs>
      <w:spacing w:after="0" w:line="240" w:lineRule="auto"/>
    </w:pPr>
  </w:style>
  <w:style w:type="character" w:customStyle="1" w:styleId="EncabezadoCar">
    <w:name w:val="Encabezado Car"/>
    <w:link w:val="Encabezado"/>
    <w:uiPriority w:val="99"/>
    <w:rsid w:val="00B301C1"/>
    <w:rPr>
      <w:rFonts w:ascii="Calibri" w:eastAsia="Calibri" w:hAnsi="Calibri" w:cs="Times New Roman"/>
      <w:lang w:val="es-AR"/>
    </w:rPr>
  </w:style>
  <w:style w:type="character" w:styleId="Hipervnculo">
    <w:name w:val="Hyperlink"/>
    <w:uiPriority w:val="99"/>
    <w:unhideWhenUsed/>
    <w:rsid w:val="00B301C1"/>
    <w:rPr>
      <w:color w:val="0000FF"/>
      <w:u w:val="single"/>
    </w:rPr>
  </w:style>
  <w:style w:type="paragraph" w:styleId="Prrafodelista">
    <w:name w:val="List Paragraph"/>
    <w:basedOn w:val="Normal"/>
    <w:uiPriority w:val="34"/>
    <w:qFormat/>
    <w:rsid w:val="00B301C1"/>
    <w:pPr>
      <w:ind w:left="720"/>
      <w:contextualSpacing/>
    </w:pPr>
  </w:style>
  <w:style w:type="paragraph" w:styleId="NormalWeb">
    <w:name w:val="Normal (Web)"/>
    <w:basedOn w:val="Normal"/>
    <w:uiPriority w:val="99"/>
    <w:unhideWhenUsed/>
    <w:rsid w:val="00B301C1"/>
    <w:pPr>
      <w:spacing w:before="100" w:beforeAutospacing="1" w:after="100" w:afterAutospacing="1" w:line="240" w:lineRule="auto"/>
    </w:pPr>
    <w:rPr>
      <w:rFonts w:ascii="Times New Roman" w:eastAsia="Times New Roman" w:hAnsi="Times New Roman"/>
      <w:sz w:val="24"/>
      <w:szCs w:val="24"/>
      <w:lang w:val="en-US"/>
    </w:rPr>
  </w:style>
  <w:style w:type="paragraph" w:styleId="Piedepgina">
    <w:name w:val="footer"/>
    <w:basedOn w:val="Normal"/>
    <w:link w:val="PiedepginaCar"/>
    <w:uiPriority w:val="99"/>
    <w:semiHidden/>
    <w:unhideWhenUsed/>
    <w:rsid w:val="00E34B23"/>
    <w:pPr>
      <w:tabs>
        <w:tab w:val="center" w:pos="4252"/>
        <w:tab w:val="right" w:pos="8504"/>
      </w:tabs>
      <w:spacing w:after="0" w:line="240" w:lineRule="auto"/>
    </w:pPr>
  </w:style>
  <w:style w:type="character" w:customStyle="1" w:styleId="PiedepginaCar">
    <w:name w:val="Pie de página Car"/>
    <w:link w:val="Piedepgina"/>
    <w:uiPriority w:val="99"/>
    <w:semiHidden/>
    <w:rsid w:val="00E34B23"/>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56998">
      <w:bodyDiv w:val="1"/>
      <w:marLeft w:val="0"/>
      <w:marRight w:val="0"/>
      <w:marTop w:val="0"/>
      <w:marBottom w:val="0"/>
      <w:divBdr>
        <w:top w:val="none" w:sz="0" w:space="0" w:color="auto"/>
        <w:left w:val="none" w:sz="0" w:space="0" w:color="auto"/>
        <w:bottom w:val="none" w:sz="0" w:space="0" w:color="auto"/>
        <w:right w:val="none" w:sz="0" w:space="0" w:color="auto"/>
      </w:divBdr>
    </w:div>
    <w:div w:id="986279591">
      <w:bodyDiv w:val="1"/>
      <w:marLeft w:val="0"/>
      <w:marRight w:val="0"/>
      <w:marTop w:val="0"/>
      <w:marBottom w:val="0"/>
      <w:divBdr>
        <w:top w:val="none" w:sz="0" w:space="0" w:color="auto"/>
        <w:left w:val="none" w:sz="0" w:space="0" w:color="auto"/>
        <w:bottom w:val="none" w:sz="0" w:space="0" w:color="auto"/>
        <w:right w:val="none" w:sz="0" w:space="0" w:color="auto"/>
      </w:divBdr>
    </w:div>
    <w:div w:id="14994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falla-caba.infd.edu.ar/sitio/area-academica/" TargetMode="External"/><Relationship Id="rId3" Type="http://schemas.openxmlformats.org/officeDocument/2006/relationships/settings" Target="settings.xml"/><Relationship Id="rId7" Type="http://schemas.openxmlformats.org/officeDocument/2006/relationships/hyperlink" Target="mailto:departamentofgy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1146</Words>
  <Characters>6303</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7435</CharactersWithSpaces>
  <SharedDoc>false</SharedDoc>
  <HLinks>
    <vt:vector size="12" baseType="variant">
      <vt:variant>
        <vt:i4>2228322</vt:i4>
      </vt:variant>
      <vt:variant>
        <vt:i4>3</vt:i4>
      </vt:variant>
      <vt:variant>
        <vt:i4>0</vt:i4>
      </vt:variant>
      <vt:variant>
        <vt:i4>5</vt:i4>
      </vt:variant>
      <vt:variant>
        <vt:lpwstr>https://cmfalla-caba.infd.edu.ar/sitio/area-academica/</vt:lpwstr>
      </vt:variant>
      <vt:variant>
        <vt:lpwstr/>
      </vt:variant>
      <vt:variant>
        <vt:i4>7209032</vt:i4>
      </vt:variant>
      <vt:variant>
        <vt:i4>0</vt:i4>
      </vt:variant>
      <vt:variant>
        <vt:i4>0</vt:i4>
      </vt:variant>
      <vt:variant>
        <vt:i4>5</vt:i4>
      </vt:variant>
      <vt:variant>
        <vt:lpwstr>mailto:departamentofgyp@gmail.com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Stegmann</dc:creator>
  <cp:lastModifiedBy>Full name</cp:lastModifiedBy>
  <cp:revision>6</cp:revision>
  <dcterms:created xsi:type="dcterms:W3CDTF">2022-03-18T18:39:00Z</dcterms:created>
  <dcterms:modified xsi:type="dcterms:W3CDTF">2022-08-08T12:31:00Z</dcterms:modified>
</cp:coreProperties>
</file>