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57"/>
      </w:tblGrid>
      <w:tr w:rsidR="00E8319B" w:rsidRPr="008F26FE" w:rsidTr="00105DE6">
        <w:trPr>
          <w:trHeight w:val="416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 w:rsidR="00105DE6">
              <w:rPr>
                <w:b/>
              </w:rPr>
              <w:t xml:space="preserve"> ACADÉMICO</w:t>
            </w:r>
          </w:p>
        </w:tc>
        <w:tc>
          <w:tcPr>
            <w:tcW w:w="6457" w:type="dxa"/>
            <w:vAlign w:val="center"/>
          </w:tcPr>
          <w:p w:rsidR="00482D07" w:rsidRPr="00DC7962" w:rsidRDefault="007A425D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Didácticas y Prácticas </w:t>
            </w:r>
            <w:r w:rsidR="00862853">
              <w:rPr>
                <w:b/>
              </w:rPr>
              <w:t>de la Enseñanza</w:t>
            </w:r>
          </w:p>
        </w:tc>
      </w:tr>
      <w:tr w:rsidR="00E8319B" w:rsidRPr="008F26FE" w:rsidTr="00105DE6">
        <w:trPr>
          <w:trHeight w:val="422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Coordinador</w:t>
            </w:r>
            <w:r w:rsidR="00105DE6">
              <w:t>a</w:t>
            </w:r>
            <w:r w:rsidRPr="008F26FE">
              <w:t xml:space="preserve"> </w:t>
            </w:r>
            <w:r w:rsidR="00105DE6">
              <w:t xml:space="preserve"> </w:t>
            </w:r>
            <w:r w:rsidRPr="008F26FE">
              <w:t>a/c</w:t>
            </w:r>
          </w:p>
        </w:tc>
        <w:tc>
          <w:tcPr>
            <w:tcW w:w="6457" w:type="dxa"/>
            <w:vAlign w:val="center"/>
          </w:tcPr>
          <w:p w:rsidR="00482D07" w:rsidRPr="008F26FE" w:rsidRDefault="00862853" w:rsidP="007A425D">
            <w:pPr>
              <w:spacing w:after="0" w:line="240" w:lineRule="auto"/>
            </w:pPr>
            <w:r>
              <w:t>Secretaría Académica</w:t>
            </w:r>
            <w:r w:rsidR="00951A3C">
              <w:t xml:space="preserve"> </w:t>
            </w:r>
          </w:p>
        </w:tc>
      </w:tr>
      <w:tr w:rsidR="00E8319B" w:rsidRPr="008F26FE" w:rsidTr="00105DE6">
        <w:trPr>
          <w:trHeight w:val="430"/>
        </w:trPr>
        <w:tc>
          <w:tcPr>
            <w:tcW w:w="2263" w:type="dxa"/>
            <w:vAlign w:val="center"/>
          </w:tcPr>
          <w:p w:rsidR="00740EA4" w:rsidRPr="008F26FE" w:rsidRDefault="00105DE6" w:rsidP="00DC7962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482D07" w:rsidRPr="007A425D" w:rsidRDefault="00725D0F" w:rsidP="00725D0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 DE LA ENSEÑANZA EN EL NIVEL SUPERIOR</w:t>
            </w:r>
            <w:r w:rsidR="00A17F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0EA4" w:rsidRPr="008F26FE" w:rsidTr="00105DE6">
        <w:trPr>
          <w:trHeight w:val="420"/>
        </w:trPr>
        <w:tc>
          <w:tcPr>
            <w:tcW w:w="2263" w:type="dxa"/>
            <w:vAlign w:val="center"/>
          </w:tcPr>
          <w:p w:rsidR="00740EA4" w:rsidRPr="008F26FE" w:rsidRDefault="00740EA4" w:rsidP="00105DE6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</w:p>
        </w:tc>
        <w:tc>
          <w:tcPr>
            <w:tcW w:w="6457" w:type="dxa"/>
            <w:vAlign w:val="center"/>
          </w:tcPr>
          <w:p w:rsidR="00740EA4" w:rsidRPr="008F26FE" w:rsidRDefault="000E15D6" w:rsidP="00105DE6">
            <w:pPr>
              <w:spacing w:after="0" w:line="240" w:lineRule="auto"/>
            </w:pPr>
            <w:r>
              <w:t>Superior</w:t>
            </w:r>
            <w:r w:rsidR="00105DE6">
              <w:t xml:space="preserve"> </w:t>
            </w:r>
          </w:p>
        </w:tc>
      </w:tr>
      <w:tr w:rsidR="00E8319B" w:rsidRPr="008F26FE" w:rsidTr="00105DE6">
        <w:trPr>
          <w:trHeight w:val="1690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457" w:type="dxa"/>
            <w:vAlign w:val="center"/>
          </w:tcPr>
          <w:p w:rsidR="00C75C88" w:rsidRDefault="009F7BB6" w:rsidP="00C75C88">
            <w:pPr>
              <w:spacing w:after="0" w:line="240" w:lineRule="auto"/>
              <w:jc w:val="both"/>
            </w:pPr>
            <w:r w:rsidRPr="008E20E6">
              <w:t xml:space="preserve">Título Docente </w:t>
            </w:r>
            <w:r>
              <w:t xml:space="preserve">de </w:t>
            </w:r>
            <w:r w:rsidRPr="00F33CB4">
              <w:t>Música con habilitación para el Nivel Superior.</w:t>
            </w:r>
            <w:r>
              <w:t xml:space="preserve"> En su defecto, Título Docente en Música</w:t>
            </w:r>
            <w:r w:rsidR="00C75C88">
              <w:t xml:space="preserve"> con experiencia docente comprobable en el nivel Superior. </w:t>
            </w:r>
            <w:r w:rsidR="00C75C88" w:rsidRPr="008E20E6">
              <w:t>(Título</w:t>
            </w:r>
            <w:r w:rsidR="00C75C88">
              <w:t>s otorgado por Instituciones regidas por Ley 24.521)</w:t>
            </w:r>
          </w:p>
          <w:p w:rsidR="00740EA4" w:rsidRPr="008F26FE" w:rsidRDefault="00C75C88" w:rsidP="00C75C88">
            <w:pPr>
              <w:spacing w:after="0" w:line="240" w:lineRule="auto"/>
              <w:jc w:val="both"/>
            </w:pPr>
            <w:r>
              <w:t>El/la postulante deberá p</w:t>
            </w:r>
            <w:r w:rsidRPr="00017D89">
              <w:t xml:space="preserve">oseer dominio del planteo metodológico y los procedimientos didácticos según las necesidades del nivel </w:t>
            </w:r>
            <w:r>
              <w:t>Superior.</w:t>
            </w:r>
            <w:r w:rsidRPr="00017D89">
              <w:t xml:space="preserve"> </w:t>
            </w:r>
            <w:r>
              <w:t xml:space="preserve">Se ponderará la </w:t>
            </w:r>
            <w:r w:rsidR="009F7BB6">
              <w:t>e</w:t>
            </w:r>
            <w:r w:rsidR="009F7BB6" w:rsidRPr="00017D89">
              <w:t>xperiencia</w:t>
            </w:r>
            <w:r w:rsidR="009F7BB6">
              <w:t xml:space="preserve"> y </w:t>
            </w:r>
            <w:r w:rsidR="009F7BB6" w:rsidRPr="00017D89">
              <w:t xml:space="preserve">antecedentes docentes, artísticos y de investigación en el nivel </w:t>
            </w:r>
            <w:r w:rsidR="009F7BB6">
              <w:t>S</w:t>
            </w:r>
            <w:r>
              <w:t xml:space="preserve">uperior, como también la trayectoria en el dictado de espacios afines o similares. </w:t>
            </w:r>
          </w:p>
        </w:tc>
      </w:tr>
      <w:tr w:rsidR="00E8319B" w:rsidRPr="008F26FE" w:rsidTr="00105DE6">
        <w:trPr>
          <w:trHeight w:val="632"/>
        </w:trPr>
        <w:tc>
          <w:tcPr>
            <w:tcW w:w="2263" w:type="dxa"/>
            <w:vAlign w:val="center"/>
          </w:tcPr>
          <w:p w:rsidR="00740EA4" w:rsidRPr="008F26FE" w:rsidRDefault="00740EA4" w:rsidP="00680B92">
            <w:pPr>
              <w:spacing w:after="0" w:line="240" w:lineRule="auto"/>
            </w:pPr>
            <w:r w:rsidRPr="008F26FE">
              <w:t xml:space="preserve">Cantidad </w:t>
            </w:r>
            <w:r w:rsidR="00105DE6">
              <w:t xml:space="preserve">máxima </w:t>
            </w:r>
            <w:r w:rsidRPr="008F26FE">
              <w:t>de antecedentes</w:t>
            </w:r>
          </w:p>
        </w:tc>
        <w:tc>
          <w:tcPr>
            <w:tcW w:w="6457" w:type="dxa"/>
            <w:vAlign w:val="center"/>
          </w:tcPr>
          <w:p w:rsidR="00740EA4" w:rsidRPr="008F26FE" w:rsidRDefault="00DC7962" w:rsidP="00832957">
            <w:pPr>
              <w:spacing w:after="0" w:line="240" w:lineRule="auto"/>
            </w:pPr>
            <w:r>
              <w:t>1</w:t>
            </w:r>
            <w:r w:rsidR="00832957">
              <w:t>5</w:t>
            </w:r>
            <w:r w:rsidR="00D62C9C">
              <w:t xml:space="preserve"> </w:t>
            </w:r>
            <w:r>
              <w:t>(</w:t>
            </w:r>
            <w:r w:rsidR="00832957">
              <w:t>quince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65384B">
        <w:trPr>
          <w:trHeight w:val="1330"/>
        </w:trPr>
        <w:tc>
          <w:tcPr>
            <w:tcW w:w="2263" w:type="dxa"/>
            <w:vAlign w:val="center"/>
          </w:tcPr>
          <w:p w:rsidR="00740EA4" w:rsidRPr="008F26FE" w:rsidRDefault="00740EA4" w:rsidP="00832957">
            <w:pPr>
              <w:spacing w:after="0" w:line="240" w:lineRule="auto"/>
            </w:pPr>
            <w:r w:rsidRPr="008F26FE">
              <w:t>Pro</w:t>
            </w:r>
            <w:r w:rsidR="00832957">
              <w:t>puesta</w:t>
            </w:r>
            <w:r w:rsidRPr="008F26FE">
              <w:t xml:space="preserve"> Pedagógic</w:t>
            </w:r>
            <w:r w:rsidR="00832957">
              <w:t>a</w:t>
            </w:r>
          </w:p>
        </w:tc>
        <w:tc>
          <w:tcPr>
            <w:tcW w:w="6457" w:type="dxa"/>
            <w:vAlign w:val="center"/>
          </w:tcPr>
          <w:p w:rsidR="001A34DD" w:rsidRDefault="00016EBC" w:rsidP="001A34DD">
            <w:pPr>
              <w:spacing w:after="0" w:line="240" w:lineRule="auto"/>
              <w:rPr>
                <w:b/>
              </w:rPr>
            </w:pPr>
            <w:r w:rsidRPr="00016EBC">
              <w:t xml:space="preserve">Se requiere </w:t>
            </w:r>
            <w:r w:rsidR="00832957">
              <w:t>una propuesta</w:t>
            </w:r>
            <w:r w:rsidRPr="00016EBC">
              <w:t xml:space="preserve"> pedagógic</w:t>
            </w:r>
            <w:r w:rsidR="00832957">
              <w:t>a</w:t>
            </w:r>
            <w:r w:rsidRPr="00016EBC">
              <w:t xml:space="preserve">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>
              <w:t xml:space="preserve">vigente </w:t>
            </w:r>
            <w:r w:rsidRPr="00016EBC">
              <w:rPr>
                <w:b/>
              </w:rPr>
              <w:t>(*)</w:t>
            </w:r>
            <w:r w:rsidR="001A34DD">
              <w:rPr>
                <w:b/>
              </w:rPr>
              <w:t>.</w:t>
            </w:r>
          </w:p>
          <w:p w:rsidR="00FA0CB3" w:rsidRPr="00016EBC" w:rsidRDefault="00A52633" w:rsidP="001A34DD">
            <w:pPr>
              <w:spacing w:after="0" w:line="240" w:lineRule="auto"/>
            </w:pPr>
            <w:r w:rsidRPr="00A52633">
              <w:t>Las características y detalle se encuentran en los Art. 35 y 36 del Reglamento.</w:t>
            </w:r>
            <w:r w:rsidR="000B41C6">
              <w:t xml:space="preserve"> </w:t>
            </w:r>
          </w:p>
        </w:tc>
      </w:tr>
      <w:tr w:rsidR="00740EA4" w:rsidRPr="008F26FE" w:rsidTr="00432BAB">
        <w:trPr>
          <w:trHeight w:val="994"/>
        </w:trPr>
        <w:tc>
          <w:tcPr>
            <w:tcW w:w="2263" w:type="dxa"/>
            <w:vAlign w:val="center"/>
          </w:tcPr>
          <w:p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457" w:type="dxa"/>
            <w:vAlign w:val="center"/>
          </w:tcPr>
          <w:p w:rsidR="00482D07" w:rsidRDefault="00955EE8" w:rsidP="00981667">
            <w:pPr>
              <w:spacing w:after="0" w:line="240" w:lineRule="auto"/>
            </w:pPr>
            <w:r>
              <w:t xml:space="preserve">La modalidad del coloquio </w:t>
            </w:r>
            <w:r w:rsidR="00E3010D">
              <w:t>ser</w:t>
            </w:r>
            <w:r w:rsidR="00470BA5">
              <w:t>á</w:t>
            </w:r>
            <w:r w:rsidR="00E3010D">
              <w:t xml:space="preserve"> presencial</w:t>
            </w:r>
            <w:r w:rsidR="00B96071">
              <w:t>.</w:t>
            </w:r>
          </w:p>
          <w:p w:rsidR="00263BA4" w:rsidRPr="008F26FE" w:rsidRDefault="00254AE4" w:rsidP="00981667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 w:rsidR="00FA0CB3">
              <w:t xml:space="preserve"> </w:t>
            </w:r>
            <w:r w:rsidR="00E3010D">
              <w:t xml:space="preserve">y/o </w:t>
            </w:r>
            <w:r>
              <w:t>clase</w:t>
            </w:r>
            <w:r w:rsidR="00FA0CB3">
              <w:t>.</w:t>
            </w:r>
          </w:p>
        </w:tc>
      </w:tr>
      <w:tr w:rsidR="00740EA4" w:rsidRPr="008F26FE" w:rsidTr="00105DE6">
        <w:trPr>
          <w:trHeight w:val="968"/>
        </w:trPr>
        <w:tc>
          <w:tcPr>
            <w:tcW w:w="2263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457" w:type="dxa"/>
            <w:vAlign w:val="center"/>
          </w:tcPr>
          <w:p w:rsidR="00651C89" w:rsidRPr="00432BAB" w:rsidRDefault="00651C89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9F7BB6">
              <w:rPr>
                <w:rFonts w:asciiTheme="minorHAnsi" w:hAnsiTheme="minorHAnsi" w:cstheme="minorHAnsi"/>
              </w:rPr>
              <w:t xml:space="preserve"> Beatriz </w:t>
            </w:r>
            <w:proofErr w:type="spellStart"/>
            <w:r w:rsidR="009F7BB6">
              <w:rPr>
                <w:rFonts w:asciiTheme="minorHAnsi" w:hAnsiTheme="minorHAnsi" w:cstheme="minorHAnsi"/>
              </w:rPr>
              <w:t>Mastrangelo</w:t>
            </w:r>
            <w:proofErr w:type="spellEnd"/>
            <w:r w:rsidRPr="00432BAB">
              <w:rPr>
                <w:rFonts w:asciiTheme="minorHAnsi" w:hAnsiTheme="minorHAnsi" w:cstheme="minorHAnsi"/>
              </w:rPr>
              <w:t xml:space="preserve"> </w:t>
            </w:r>
            <w:r w:rsidR="009F7BB6">
              <w:rPr>
                <w:rFonts w:asciiTheme="minorHAnsi" w:hAnsiTheme="minorHAnsi" w:cstheme="minorHAnsi"/>
              </w:rPr>
              <w:t>(externa)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</w:p>
          <w:p w:rsidR="00651C89" w:rsidRPr="00432BAB" w:rsidRDefault="00254AE4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9F7BB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Graciela Flores</w:t>
            </w:r>
            <w:r w:rsidR="00FB5544" w:rsidRPr="00432BAB">
              <w:rPr>
                <w:rFonts w:asciiTheme="minorHAnsi" w:hAnsiTheme="minorHAnsi" w:cstheme="minorHAnsi"/>
              </w:rPr>
              <w:t xml:space="preserve"> </w:t>
            </w:r>
          </w:p>
          <w:p w:rsidR="00254AE4" w:rsidRPr="008F26FE" w:rsidRDefault="00651C89" w:rsidP="007A425D">
            <w:pPr>
              <w:spacing w:after="0" w:line="240" w:lineRule="auto"/>
            </w:pPr>
            <w:r w:rsidRPr="00432BAB">
              <w:rPr>
                <w:rFonts w:asciiTheme="minorHAnsi" w:hAnsiTheme="minorHAnsi" w:cstheme="minorHAnsi"/>
              </w:rPr>
              <w:t>Prof</w:t>
            </w:r>
            <w:r w:rsidR="00FB5544" w:rsidRPr="00432BAB">
              <w:rPr>
                <w:rFonts w:asciiTheme="minorHAnsi" w:hAnsiTheme="minorHAnsi" w:cstheme="minorHAnsi"/>
              </w:rPr>
              <w:t>.</w:t>
            </w:r>
            <w:r w:rsidR="00432BAB" w:rsidRPr="00432BAB">
              <w:rPr>
                <w:rFonts w:asciiTheme="minorHAnsi" w:hAnsiTheme="minorHAnsi" w:cstheme="minorHAnsi"/>
              </w:rPr>
              <w:t xml:space="preserve"> </w:t>
            </w:r>
            <w:r w:rsidR="009F7BB6">
              <w:rPr>
                <w:rFonts w:asciiTheme="minorHAnsi" w:hAnsiTheme="minorHAnsi" w:cstheme="minorHAnsi"/>
              </w:rPr>
              <w:t>Santiago López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FB5544">
              <w:t xml:space="preserve"> </w:t>
            </w:r>
            <w:r w:rsidR="00432BAB">
              <w:t xml:space="preserve"> </w:t>
            </w:r>
            <w:r w:rsidR="0099596A">
              <w:t xml:space="preserve"> </w:t>
            </w:r>
          </w:p>
        </w:tc>
      </w:tr>
      <w:tr w:rsidR="00740EA4" w:rsidRPr="008F26FE" w:rsidTr="005C6F86">
        <w:trPr>
          <w:trHeight w:val="1563"/>
        </w:trPr>
        <w:tc>
          <w:tcPr>
            <w:tcW w:w="2263" w:type="dxa"/>
            <w:vAlign w:val="center"/>
          </w:tcPr>
          <w:p w:rsidR="00740EA4" w:rsidRPr="008F26FE" w:rsidRDefault="00740EA4" w:rsidP="008F5814">
            <w:pPr>
              <w:spacing w:after="0" w:line="240" w:lineRule="auto"/>
            </w:pPr>
            <w:r w:rsidRPr="008F26FE">
              <w:t xml:space="preserve">Presentación de </w:t>
            </w:r>
            <w:r w:rsidR="008F5814">
              <w:t>la documentación</w:t>
            </w:r>
          </w:p>
        </w:tc>
        <w:tc>
          <w:tcPr>
            <w:tcW w:w="6457" w:type="dxa"/>
            <w:vAlign w:val="center"/>
          </w:tcPr>
          <w:p w:rsidR="00704E54" w:rsidRDefault="00740EA4" w:rsidP="00254AE4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Fecha:</w:t>
            </w:r>
            <w:r w:rsidR="00477506" w:rsidRPr="00254AE4">
              <w:rPr>
                <w:b/>
              </w:rPr>
              <w:t xml:space="preserve"> </w:t>
            </w:r>
            <w:r w:rsidR="00704E54"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del </w:t>
            </w:r>
            <w:r w:rsidR="00355F26">
              <w:rPr>
                <w:rFonts w:asciiTheme="minorHAnsi" w:hAnsiTheme="minorHAnsi" w:cstheme="minorHAnsi"/>
                <w:color w:val="333333"/>
                <w:szCs w:val="20"/>
              </w:rPr>
              <w:t>28/02 al 05/03</w:t>
            </w:r>
            <w:r w:rsidR="000F5CB7">
              <w:rPr>
                <w:rFonts w:asciiTheme="minorHAnsi" w:hAnsiTheme="minorHAnsi" w:cstheme="minorHAnsi"/>
                <w:color w:val="333333"/>
                <w:szCs w:val="20"/>
              </w:rPr>
              <w:t xml:space="preserve"> </w:t>
            </w:r>
            <w:r w:rsidR="004D7990">
              <w:rPr>
                <w:rFonts w:asciiTheme="minorHAnsi" w:hAnsiTheme="minorHAnsi" w:cstheme="minorHAnsi"/>
                <w:color w:val="333333"/>
                <w:szCs w:val="20"/>
              </w:rPr>
              <w:t>h</w:t>
            </w:r>
            <w:r w:rsidR="00704E54"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asta las 18 </w:t>
            </w:r>
            <w:proofErr w:type="spellStart"/>
            <w:r w:rsidR="00704E54" w:rsidRPr="00704E54">
              <w:rPr>
                <w:rFonts w:asciiTheme="minorHAnsi" w:hAnsiTheme="minorHAnsi" w:cstheme="minorHAnsi"/>
                <w:color w:val="333333"/>
                <w:szCs w:val="20"/>
              </w:rPr>
              <w:t>hs</w:t>
            </w:r>
            <w:proofErr w:type="spellEnd"/>
            <w:r w:rsidR="00704E54" w:rsidRPr="00704E54">
              <w:rPr>
                <w:rFonts w:asciiTheme="minorHAnsi" w:hAnsiTheme="minorHAnsi" w:cstheme="minorHAnsi"/>
                <w:color w:val="333333"/>
                <w:szCs w:val="20"/>
              </w:rPr>
              <w:t>.</w:t>
            </w:r>
            <w:r w:rsidR="00704E54" w:rsidRPr="00704E54">
              <w:rPr>
                <w:b/>
                <w:color w:val="FF0000"/>
                <w:sz w:val="24"/>
              </w:rPr>
              <w:t xml:space="preserve"> </w:t>
            </w:r>
            <w:r w:rsidR="0099596A" w:rsidRPr="00704E54">
              <w:rPr>
                <w:b/>
                <w:color w:val="FF0000"/>
                <w:sz w:val="24"/>
              </w:rPr>
              <w:t xml:space="preserve"> </w:t>
            </w:r>
          </w:p>
          <w:p w:rsidR="001E50F9" w:rsidRDefault="00254AE4" w:rsidP="00254AE4">
            <w:pPr>
              <w:spacing w:after="0" w:line="240" w:lineRule="auto"/>
            </w:pPr>
            <w:r>
              <w:t xml:space="preserve">De acuerdo al </w:t>
            </w:r>
            <w:r w:rsidR="008F5814">
              <w:t>Reglamento</w:t>
            </w:r>
            <w:r>
              <w:t>, el envío de toda la documentación en formato digital debe ser a</w:t>
            </w:r>
            <w:r w:rsidR="001E50F9" w:rsidRPr="00A01B07">
              <w:t xml:space="preserve">l siguiente mail: </w:t>
            </w:r>
            <w:bookmarkStart w:id="0" w:name="_GoBack"/>
            <w:bookmarkEnd w:id="0"/>
          </w:p>
          <w:p w:rsidR="008D093A" w:rsidRDefault="008D093A" w:rsidP="008D093A">
            <w:pPr>
              <w:spacing w:after="0" w:line="240" w:lineRule="auto"/>
            </w:pPr>
            <w:hyperlink r:id="rId7" w:history="1">
              <w:r w:rsidRPr="009C64C1">
                <w:rPr>
                  <w:rStyle w:val="Hipervnculo"/>
                </w:rPr>
                <w:t>mesadeentradasCSMMF@buenosaires.gob.ar</w:t>
              </w:r>
            </w:hyperlink>
            <w:r>
              <w:t xml:space="preserve"> </w:t>
            </w:r>
          </w:p>
          <w:p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254AE4" w:rsidRDefault="00254AE4" w:rsidP="00B6620C">
      <w:pPr>
        <w:spacing w:after="0"/>
        <w:rPr>
          <w:u w:val="single"/>
        </w:rPr>
      </w:pPr>
    </w:p>
    <w:p w:rsidR="00B6620C" w:rsidRDefault="00B6620C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725D0F" w:rsidRDefault="00725D0F" w:rsidP="0065384B">
      <w:pPr>
        <w:spacing w:after="6" w:line="240" w:lineRule="auto"/>
        <w:jc w:val="both"/>
      </w:pPr>
    </w:p>
    <w:p w:rsidR="0065384B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862853" w:rsidRDefault="0086285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65384B" w:rsidRPr="009F7BB6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  <w:r w:rsidRPr="009F7BB6">
        <w:rPr>
          <w:rFonts w:asciiTheme="minorHAnsi" w:hAnsiTheme="minorHAnsi" w:cstheme="minorHAnsi"/>
          <w:b/>
        </w:rPr>
        <w:lastRenderedPageBreak/>
        <w:t xml:space="preserve">(*) </w:t>
      </w:r>
      <w:r w:rsidRPr="009F7BB6">
        <w:rPr>
          <w:rFonts w:asciiTheme="minorHAnsi" w:hAnsiTheme="minorHAnsi" w:cstheme="minorHAnsi"/>
        </w:rPr>
        <w:t>Contenidos mínimos del Plan de Estudios</w:t>
      </w:r>
    </w:p>
    <w:p w:rsidR="009F7BB6" w:rsidRPr="00725D0F" w:rsidRDefault="009F7BB6" w:rsidP="009F7BB6">
      <w:pPr>
        <w:spacing w:after="0" w:line="240" w:lineRule="auto"/>
        <w:jc w:val="both"/>
        <w:rPr>
          <w:rFonts w:asciiTheme="minorHAnsi" w:hAnsiTheme="minorHAnsi" w:cstheme="minorHAnsi"/>
          <w:b/>
          <w:sz w:val="14"/>
        </w:rPr>
      </w:pPr>
    </w:p>
    <w:p w:rsidR="00725D0F" w:rsidRPr="00725D0F" w:rsidRDefault="00725D0F" w:rsidP="00725D0F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725D0F">
        <w:rPr>
          <w:rFonts w:asciiTheme="minorHAnsi" w:hAnsiTheme="minorHAnsi" w:cstheme="minorHAnsi"/>
          <w:b/>
          <w:sz w:val="24"/>
        </w:rPr>
        <w:t>PRÁCTICAS DE LA ENSEÑANZA EN EL NIVEL SUPERIOR</w:t>
      </w:r>
    </w:p>
    <w:p w:rsidR="00725D0F" w:rsidRPr="00725D0F" w:rsidRDefault="00725D0F" w:rsidP="00725D0F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Objetivos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Conocer las características distintivas del sujeto y de los procesos de aprendizaje del nivel superior y de la formación de formadores en la educación artística.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Analizar y comprender las características, demandas y objetivos de las diferentes modalidades y dispositivos para la educación artística en contextos educativos formales, no formales e informales y para la educación musical específica de nivel superior.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Contextualizar los procesos de enseñanza y de aprendizaje en el campo de las diferentes orientaciones y especialidades en el nivel superior de las instituciones de formación musical especializada.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Observar, analizar y comprender los procesos y dinámicas áulicas de enseñanza y de aprendizaje en el nivel superior, y específicamente en la formación de formadores.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Diseñar, desarrollar, coordinar y evaluar propuestas de enseñanza de la música, en el campo de la incumbencia específica, en instituciones de nivel superior, incluyendo aquellas de formación musical especializada, acordes a los lineamientos curriculares y las características grupales y contextuales.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Seleccionar y elaborar estrategias, recursos y materiales didácticos específicos para el desarrollo de clases de en el nivel superior, en los campos de incumbencia de su título.</w:t>
      </w:r>
    </w:p>
    <w:p w:rsidR="00725D0F" w:rsidRPr="00725D0F" w:rsidRDefault="00725D0F" w:rsidP="00725D0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</w:rPr>
        <w:t>Analizar y reflexionar críticamente sobre su propio desarrollo del rol docente y el de sus pares en situaciones de enseñanza en el nivel superior y específicamente en la formación docente.</w:t>
      </w:r>
    </w:p>
    <w:p w:rsidR="00725D0F" w:rsidRPr="00725D0F" w:rsidRDefault="00725D0F" w:rsidP="00725D0F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Ejes de contenido</w:t>
      </w:r>
    </w:p>
    <w:p w:rsidR="00725D0F" w:rsidRPr="00725D0F" w:rsidRDefault="00725D0F" w:rsidP="00725D0F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Sujetos del aprendizaje en el nivel superior.</w:t>
      </w:r>
      <w:r w:rsidRPr="00725D0F">
        <w:rPr>
          <w:rFonts w:asciiTheme="minorHAnsi" w:hAnsiTheme="minorHAnsi" w:cstheme="minorHAnsi"/>
        </w:rPr>
        <w:t xml:space="preserve"> La identificación de las singularidades de los sujetos desde lo cognitivo, socio-cultural e </w:t>
      </w:r>
      <w:proofErr w:type="spellStart"/>
      <w:r w:rsidRPr="00725D0F">
        <w:rPr>
          <w:rFonts w:asciiTheme="minorHAnsi" w:hAnsiTheme="minorHAnsi" w:cstheme="minorHAnsi"/>
        </w:rPr>
        <w:t>identitario</w:t>
      </w:r>
      <w:proofErr w:type="spellEnd"/>
      <w:r w:rsidRPr="00725D0F">
        <w:rPr>
          <w:rFonts w:asciiTheme="minorHAnsi" w:hAnsiTheme="minorHAnsi" w:cstheme="minorHAnsi"/>
        </w:rPr>
        <w:t xml:space="preserve"> en diversos contextos. Las expresiones musicales en los distintos etarios y culturales. El lugar de las artes en la construcción de la identidad y la ciudadanía.</w:t>
      </w:r>
    </w:p>
    <w:p w:rsidR="00725D0F" w:rsidRPr="00725D0F" w:rsidRDefault="00725D0F" w:rsidP="00725D0F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Procesos de enseñanza y aprendizaje.</w:t>
      </w:r>
      <w:r w:rsidRPr="00725D0F">
        <w:rPr>
          <w:rFonts w:asciiTheme="minorHAnsi" w:hAnsiTheme="minorHAnsi" w:cstheme="minorHAnsi"/>
        </w:rPr>
        <w:t xml:space="preserve"> El rol del docente en la modalidad artística. Los enfoques de la enseñanza de la música a lo largo del nivel superior, incluyendo aquellos referidos a la inclusión de personas con necesidades educativas especiales. La clase en el nivel superior. Estructura, organización interna, tiempos.</w:t>
      </w:r>
    </w:p>
    <w:p w:rsidR="00725D0F" w:rsidRPr="00725D0F" w:rsidRDefault="00725D0F" w:rsidP="00725D0F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Diseño, implementación y evaluación de propuestas de enseñanza en el nivel superior.</w:t>
      </w:r>
      <w:r w:rsidRPr="00725D0F">
        <w:rPr>
          <w:rFonts w:asciiTheme="minorHAnsi" w:hAnsiTheme="minorHAnsi" w:cstheme="minorHAnsi"/>
        </w:rPr>
        <w:t xml:space="preserve"> El Diseño Curricular de Música para el nivel superior en la jurisdicción. Enfoque. Sentido formativo. Propósitos. Bloques y contenidos. Propuestas de enseñanza y evaluación. Otros documentos curriculares y planes estudio para el nivel superior que incluyan espacios curriculares acordes al alcance del profesorado de educación superior en Música y la respectiva orientación. La propuesta de enseñanza. Modalidades de planificación, sus componentes, extensión temporal. La selección, organización, secuenciación y temporalización de los contenidos. Evaluación. Evaluación diagnóstica y evaluación de los aprendizajes. Abordajes de las modalidades de evaluación conforme a las especificidades del nivel superior. Criterios para la autoevaluación del rol docente y de la propuesta educativa.</w:t>
      </w:r>
    </w:p>
    <w:p w:rsidR="00725D0F" w:rsidRPr="00725D0F" w:rsidRDefault="00725D0F" w:rsidP="00725D0F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25D0F">
        <w:rPr>
          <w:rFonts w:asciiTheme="minorHAnsi" w:hAnsiTheme="minorHAnsi" w:cstheme="minorHAnsi"/>
          <w:b/>
        </w:rPr>
        <w:t>Observaciones y prácticas en la Institución Asociada.</w:t>
      </w:r>
      <w:r w:rsidRPr="00725D0F">
        <w:rPr>
          <w:rFonts w:asciiTheme="minorHAnsi" w:hAnsiTheme="minorHAnsi" w:cstheme="minorHAnsi"/>
        </w:rPr>
        <w:t xml:space="preserve"> Observación y análisis de propuestas curriculares e institucionales de enseñanza de la música en instituciones de nivel superior, incluyendo aquellas de Educación Artística Específica. Prácticas docentes diseñando e implementando propuestas de enseñanza en clases correspondientes a unidades curriculares del campo del lenguaje musical y de su orientación y especialidad.</w:t>
      </w:r>
    </w:p>
    <w:p w:rsidR="009F7BB6" w:rsidRPr="009F7BB6" w:rsidRDefault="009F7BB6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F7BB6" w:rsidRPr="009F7BB6" w:rsidRDefault="009F7BB6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9F7BB6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:rsidR="009F7BB6" w:rsidRPr="009F7BB6" w:rsidRDefault="00F0605F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9F7BB6" w:rsidRPr="009F7BB6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9F7BB6" w:rsidRPr="009F7BB6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p w:rsidR="0065384B" w:rsidRPr="009F7BB6" w:rsidRDefault="0065384B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65384B" w:rsidRPr="009F7BB6" w:rsidSect="00725D0F">
      <w:headerReference w:type="default" r:id="rId9"/>
      <w:pgSz w:w="11906" w:h="16838"/>
      <w:pgMar w:top="1417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5F" w:rsidRDefault="00F0605F" w:rsidP="00740EA4">
      <w:pPr>
        <w:spacing w:after="0" w:line="240" w:lineRule="auto"/>
      </w:pPr>
      <w:r>
        <w:separator/>
      </w:r>
    </w:p>
  </w:endnote>
  <w:endnote w:type="continuationSeparator" w:id="0">
    <w:p w:rsidR="00F0605F" w:rsidRDefault="00F0605F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5F" w:rsidRDefault="00F0605F" w:rsidP="00740EA4">
      <w:pPr>
        <w:spacing w:after="0" w:line="240" w:lineRule="auto"/>
      </w:pPr>
      <w:r>
        <w:separator/>
      </w:r>
    </w:p>
  </w:footnote>
  <w:footnote w:type="continuationSeparator" w:id="0">
    <w:p w:rsidR="00F0605F" w:rsidRDefault="00F0605F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1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7AA7"/>
    <w:multiLevelType w:val="hybridMultilevel"/>
    <w:tmpl w:val="9CA60954"/>
    <w:lvl w:ilvl="0" w:tplc="2240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6DAF2B50"/>
    <w:multiLevelType w:val="hybridMultilevel"/>
    <w:tmpl w:val="C696F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2"/>
  </w:num>
  <w:num w:numId="5">
    <w:abstractNumId w:val="19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14"/>
  </w:num>
  <w:num w:numId="16">
    <w:abstractNumId w:val="2"/>
  </w:num>
  <w:num w:numId="17">
    <w:abstractNumId w:val="16"/>
  </w:num>
  <w:num w:numId="18">
    <w:abstractNumId w:val="15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577F7"/>
    <w:rsid w:val="00066C23"/>
    <w:rsid w:val="000B41C6"/>
    <w:rsid w:val="000E0FBA"/>
    <w:rsid w:val="000E15D6"/>
    <w:rsid w:val="000F5CB7"/>
    <w:rsid w:val="000F77E8"/>
    <w:rsid w:val="00105DE6"/>
    <w:rsid w:val="00157FF9"/>
    <w:rsid w:val="001866E2"/>
    <w:rsid w:val="001A34DD"/>
    <w:rsid w:val="001C278F"/>
    <w:rsid w:val="001E50F9"/>
    <w:rsid w:val="00245695"/>
    <w:rsid w:val="00254AE4"/>
    <w:rsid w:val="00263BA4"/>
    <w:rsid w:val="002A33A8"/>
    <w:rsid w:val="002C67D5"/>
    <w:rsid w:val="002F01A0"/>
    <w:rsid w:val="002F3108"/>
    <w:rsid w:val="00302092"/>
    <w:rsid w:val="00321037"/>
    <w:rsid w:val="00325363"/>
    <w:rsid w:val="003255D5"/>
    <w:rsid w:val="00326130"/>
    <w:rsid w:val="00355F26"/>
    <w:rsid w:val="00366865"/>
    <w:rsid w:val="00377A06"/>
    <w:rsid w:val="003A4F90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7506"/>
    <w:rsid w:val="00480E8E"/>
    <w:rsid w:val="00482D07"/>
    <w:rsid w:val="004D7990"/>
    <w:rsid w:val="005177EA"/>
    <w:rsid w:val="0058046F"/>
    <w:rsid w:val="00593EE5"/>
    <w:rsid w:val="005C6F86"/>
    <w:rsid w:val="005D3CA7"/>
    <w:rsid w:val="00605C83"/>
    <w:rsid w:val="0061153F"/>
    <w:rsid w:val="00616A47"/>
    <w:rsid w:val="00621EB2"/>
    <w:rsid w:val="0063788B"/>
    <w:rsid w:val="00641B5A"/>
    <w:rsid w:val="00651C89"/>
    <w:rsid w:val="0065384B"/>
    <w:rsid w:val="00657513"/>
    <w:rsid w:val="00680B92"/>
    <w:rsid w:val="006B20DA"/>
    <w:rsid w:val="006D31C0"/>
    <w:rsid w:val="00704E54"/>
    <w:rsid w:val="00725285"/>
    <w:rsid w:val="00725D0F"/>
    <w:rsid w:val="00740EA4"/>
    <w:rsid w:val="007A27AE"/>
    <w:rsid w:val="007A425D"/>
    <w:rsid w:val="007B3FAB"/>
    <w:rsid w:val="00832957"/>
    <w:rsid w:val="00862853"/>
    <w:rsid w:val="00883231"/>
    <w:rsid w:val="00885498"/>
    <w:rsid w:val="00885592"/>
    <w:rsid w:val="00891E79"/>
    <w:rsid w:val="008D093A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E0C41"/>
    <w:rsid w:val="009E7928"/>
    <w:rsid w:val="009F4092"/>
    <w:rsid w:val="009F7BB6"/>
    <w:rsid w:val="00A01B07"/>
    <w:rsid w:val="00A17F70"/>
    <w:rsid w:val="00A369AE"/>
    <w:rsid w:val="00A52633"/>
    <w:rsid w:val="00A70BE8"/>
    <w:rsid w:val="00A817FD"/>
    <w:rsid w:val="00AA41F1"/>
    <w:rsid w:val="00AF757B"/>
    <w:rsid w:val="00AF7F28"/>
    <w:rsid w:val="00B278C1"/>
    <w:rsid w:val="00B50D7F"/>
    <w:rsid w:val="00B531EF"/>
    <w:rsid w:val="00B644AB"/>
    <w:rsid w:val="00B6620C"/>
    <w:rsid w:val="00B96071"/>
    <w:rsid w:val="00BA6509"/>
    <w:rsid w:val="00BD6C00"/>
    <w:rsid w:val="00BD7DBE"/>
    <w:rsid w:val="00BF1D5F"/>
    <w:rsid w:val="00C4348B"/>
    <w:rsid w:val="00C75C88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11535"/>
    <w:rsid w:val="00E3010D"/>
    <w:rsid w:val="00E5013F"/>
    <w:rsid w:val="00E654D2"/>
    <w:rsid w:val="00E749AC"/>
    <w:rsid w:val="00E82571"/>
    <w:rsid w:val="00E8319B"/>
    <w:rsid w:val="00ED1F22"/>
    <w:rsid w:val="00F0605F"/>
    <w:rsid w:val="00F113CF"/>
    <w:rsid w:val="00F11529"/>
    <w:rsid w:val="00F36DF5"/>
    <w:rsid w:val="00FA0CB3"/>
    <w:rsid w:val="00FB5544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entradasCSMMF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4</cp:revision>
  <dcterms:created xsi:type="dcterms:W3CDTF">2024-02-16T16:18:00Z</dcterms:created>
  <dcterms:modified xsi:type="dcterms:W3CDTF">2024-02-16T17:15:00Z</dcterms:modified>
</cp:coreProperties>
</file>