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57"/>
      </w:tblGrid>
      <w:tr w:rsidR="00E8319B" w:rsidRPr="008F26FE" w:rsidTr="00105DE6">
        <w:trPr>
          <w:trHeight w:val="416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 w:rsidR="00105DE6">
              <w:rPr>
                <w:b/>
              </w:rPr>
              <w:t xml:space="preserve"> ACADÉMICO</w:t>
            </w:r>
          </w:p>
        </w:tc>
        <w:tc>
          <w:tcPr>
            <w:tcW w:w="6457" w:type="dxa"/>
            <w:vAlign w:val="center"/>
          </w:tcPr>
          <w:p w:rsidR="00482D07" w:rsidRPr="00DC7962" w:rsidRDefault="008A4D61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Formación General</w:t>
            </w:r>
          </w:p>
        </w:tc>
      </w:tr>
      <w:tr w:rsidR="00E8319B" w:rsidRPr="008F26FE" w:rsidTr="00105DE6">
        <w:trPr>
          <w:trHeight w:val="422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Coordinador</w:t>
            </w:r>
            <w:r w:rsidR="00105DE6">
              <w:t>a</w:t>
            </w:r>
            <w:r w:rsidRPr="008F26FE">
              <w:t xml:space="preserve"> </w:t>
            </w:r>
            <w:r w:rsidR="00105DE6">
              <w:t xml:space="preserve"> </w:t>
            </w:r>
            <w:r w:rsidRPr="008F26FE">
              <w:t>a/c</w:t>
            </w:r>
          </w:p>
        </w:tc>
        <w:tc>
          <w:tcPr>
            <w:tcW w:w="6457" w:type="dxa"/>
            <w:vAlign w:val="center"/>
          </w:tcPr>
          <w:p w:rsidR="00482D07" w:rsidRPr="008F26FE" w:rsidRDefault="008A4D61" w:rsidP="008A4D61">
            <w:pPr>
              <w:spacing w:after="0" w:line="240" w:lineRule="auto"/>
            </w:pPr>
            <w:r>
              <w:t>Alejandro Bandín</w:t>
            </w:r>
            <w:r w:rsidR="00951A3C">
              <w:t xml:space="preserve"> </w:t>
            </w:r>
          </w:p>
        </w:tc>
      </w:tr>
      <w:tr w:rsidR="00E8319B" w:rsidRPr="008F26FE" w:rsidTr="00105DE6">
        <w:trPr>
          <w:trHeight w:val="430"/>
        </w:trPr>
        <w:tc>
          <w:tcPr>
            <w:tcW w:w="2263" w:type="dxa"/>
            <w:vAlign w:val="center"/>
          </w:tcPr>
          <w:p w:rsidR="00740EA4" w:rsidRPr="008F26FE" w:rsidRDefault="00105DE6" w:rsidP="00DC7962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482D07" w:rsidRPr="007A425D" w:rsidRDefault="008A4D61" w:rsidP="009F0A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SEXUAL INTEGRAL</w:t>
            </w:r>
            <w:r w:rsidR="00A17F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0EA4" w:rsidRPr="008F26FE" w:rsidTr="00105DE6">
        <w:trPr>
          <w:trHeight w:val="420"/>
        </w:trPr>
        <w:tc>
          <w:tcPr>
            <w:tcW w:w="2263" w:type="dxa"/>
            <w:vAlign w:val="center"/>
          </w:tcPr>
          <w:p w:rsidR="00740EA4" w:rsidRPr="008F26FE" w:rsidRDefault="00740EA4" w:rsidP="00105DE6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</w:p>
        </w:tc>
        <w:tc>
          <w:tcPr>
            <w:tcW w:w="6457" w:type="dxa"/>
            <w:vAlign w:val="center"/>
          </w:tcPr>
          <w:p w:rsidR="00740EA4" w:rsidRPr="008F26FE" w:rsidRDefault="000E15D6" w:rsidP="00105DE6">
            <w:pPr>
              <w:spacing w:after="0" w:line="240" w:lineRule="auto"/>
            </w:pPr>
            <w:r>
              <w:t>Superior</w:t>
            </w:r>
            <w:r w:rsidR="00105DE6">
              <w:t xml:space="preserve"> </w:t>
            </w:r>
          </w:p>
        </w:tc>
      </w:tr>
      <w:tr w:rsidR="00E8319B" w:rsidRPr="008F26FE" w:rsidTr="00105DE6">
        <w:trPr>
          <w:trHeight w:val="1690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457" w:type="dxa"/>
            <w:vAlign w:val="center"/>
          </w:tcPr>
          <w:p w:rsidR="00C13347" w:rsidRPr="006F42C0" w:rsidRDefault="00C13347" w:rsidP="00C13347">
            <w:pPr>
              <w:spacing w:after="0" w:line="240" w:lineRule="auto"/>
              <w:jc w:val="both"/>
            </w:pPr>
            <w:r w:rsidRPr="006F42C0">
              <w:t>Título Docente</w:t>
            </w:r>
            <w:r>
              <w:t xml:space="preserve"> con </w:t>
            </w:r>
            <w:r w:rsidRPr="006F42C0">
              <w:t>habilitación para el Nivel Superior. (Títulos otorgado por Instituciones regidas por Ley 24.521).</w:t>
            </w:r>
          </w:p>
          <w:p w:rsidR="00C13347" w:rsidRPr="008F26FE" w:rsidRDefault="00C13347" w:rsidP="00335ABC">
            <w:pPr>
              <w:spacing w:after="0" w:line="240" w:lineRule="auto"/>
              <w:jc w:val="both"/>
            </w:pPr>
            <w:r w:rsidRPr="006F42C0">
              <w:t>Se ponderará la experiencia y antecedentes docentes, como también la formación</w:t>
            </w:r>
            <w:r w:rsidR="00335ABC">
              <w:t>/especialización/antecedentes en relación al espacio curricular que se convoca.</w:t>
            </w:r>
          </w:p>
        </w:tc>
      </w:tr>
      <w:tr w:rsidR="00E8319B" w:rsidRPr="008F26FE" w:rsidTr="00105DE6">
        <w:trPr>
          <w:trHeight w:val="632"/>
        </w:trPr>
        <w:tc>
          <w:tcPr>
            <w:tcW w:w="2263" w:type="dxa"/>
            <w:vAlign w:val="center"/>
          </w:tcPr>
          <w:p w:rsidR="00740EA4" w:rsidRPr="008F26FE" w:rsidRDefault="00740EA4" w:rsidP="00680B92">
            <w:pPr>
              <w:spacing w:after="0" w:line="240" w:lineRule="auto"/>
            </w:pPr>
            <w:r w:rsidRPr="008F26FE">
              <w:t xml:space="preserve">Cantidad </w:t>
            </w:r>
            <w:r w:rsidR="00105DE6">
              <w:t xml:space="preserve">máxima </w:t>
            </w:r>
            <w:r w:rsidRPr="008F26FE">
              <w:t>de antecedentes</w:t>
            </w:r>
          </w:p>
        </w:tc>
        <w:tc>
          <w:tcPr>
            <w:tcW w:w="6457" w:type="dxa"/>
            <w:vAlign w:val="center"/>
          </w:tcPr>
          <w:p w:rsidR="00740EA4" w:rsidRPr="008F26FE" w:rsidRDefault="00DC7962" w:rsidP="00832957">
            <w:pPr>
              <w:spacing w:after="0" w:line="240" w:lineRule="auto"/>
            </w:pPr>
            <w:r>
              <w:t>1</w:t>
            </w:r>
            <w:r w:rsidR="00832957">
              <w:t>5</w:t>
            </w:r>
            <w:r w:rsidR="00D62C9C">
              <w:t xml:space="preserve"> </w:t>
            </w:r>
            <w:r>
              <w:t>(</w:t>
            </w:r>
            <w:r w:rsidR="00832957">
              <w:t>quince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65384B">
        <w:trPr>
          <w:trHeight w:val="1330"/>
        </w:trPr>
        <w:tc>
          <w:tcPr>
            <w:tcW w:w="2263" w:type="dxa"/>
            <w:vAlign w:val="center"/>
          </w:tcPr>
          <w:p w:rsidR="00740EA4" w:rsidRPr="008F26FE" w:rsidRDefault="00740EA4" w:rsidP="00832957">
            <w:pPr>
              <w:spacing w:after="0" w:line="240" w:lineRule="auto"/>
            </w:pPr>
            <w:r w:rsidRPr="008F26FE">
              <w:t>Pro</w:t>
            </w:r>
            <w:r w:rsidR="00832957">
              <w:t>puesta</w:t>
            </w:r>
            <w:r w:rsidRPr="008F26FE">
              <w:t xml:space="preserve"> Pedagógic</w:t>
            </w:r>
            <w:r w:rsidR="00832957">
              <w:t>a</w:t>
            </w:r>
          </w:p>
        </w:tc>
        <w:tc>
          <w:tcPr>
            <w:tcW w:w="6457" w:type="dxa"/>
            <w:vAlign w:val="center"/>
          </w:tcPr>
          <w:p w:rsidR="001A34DD" w:rsidRDefault="00016EBC" w:rsidP="001A34DD">
            <w:pPr>
              <w:spacing w:after="0" w:line="240" w:lineRule="auto"/>
              <w:rPr>
                <w:b/>
              </w:rPr>
            </w:pPr>
            <w:r w:rsidRPr="00016EBC">
              <w:t xml:space="preserve">Se requiere </w:t>
            </w:r>
            <w:r w:rsidR="00832957">
              <w:t>una propuesta</w:t>
            </w:r>
            <w:r w:rsidRPr="00016EBC">
              <w:t xml:space="preserve"> pedagógic</w:t>
            </w:r>
            <w:r w:rsidR="00832957">
              <w:t>a</w:t>
            </w:r>
            <w:r w:rsidRPr="00016EBC">
              <w:t xml:space="preserve">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>
              <w:t xml:space="preserve">vigente </w:t>
            </w:r>
            <w:r w:rsidRPr="00016EBC">
              <w:rPr>
                <w:b/>
              </w:rPr>
              <w:t>(*)</w:t>
            </w:r>
            <w:r w:rsidR="001A34DD">
              <w:rPr>
                <w:b/>
              </w:rPr>
              <w:t>.</w:t>
            </w:r>
          </w:p>
          <w:p w:rsidR="00FA0CB3" w:rsidRPr="00016EBC" w:rsidRDefault="00A52633" w:rsidP="001A34DD">
            <w:pPr>
              <w:spacing w:after="0" w:line="240" w:lineRule="auto"/>
            </w:pPr>
            <w:r w:rsidRPr="00A52633">
              <w:t>Las características y detalle se encuentran en los Art. 35 y 36 del Reglamento.</w:t>
            </w:r>
            <w:r w:rsidR="000B41C6">
              <w:t xml:space="preserve"> </w:t>
            </w:r>
          </w:p>
        </w:tc>
      </w:tr>
      <w:tr w:rsidR="00740EA4" w:rsidRPr="008F26FE" w:rsidTr="00432BAB">
        <w:trPr>
          <w:trHeight w:val="994"/>
        </w:trPr>
        <w:tc>
          <w:tcPr>
            <w:tcW w:w="2263" w:type="dxa"/>
            <w:vAlign w:val="center"/>
          </w:tcPr>
          <w:p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457" w:type="dxa"/>
            <w:vAlign w:val="center"/>
          </w:tcPr>
          <w:p w:rsidR="00482D07" w:rsidRDefault="00955EE8" w:rsidP="00981667">
            <w:pPr>
              <w:spacing w:after="0" w:line="240" w:lineRule="auto"/>
            </w:pPr>
            <w:r>
              <w:t xml:space="preserve">La modalidad del coloquio </w:t>
            </w:r>
            <w:r w:rsidR="00E3010D">
              <w:t>ser</w:t>
            </w:r>
            <w:r w:rsidR="00470BA5">
              <w:t>á</w:t>
            </w:r>
            <w:r w:rsidR="00E3010D">
              <w:t xml:space="preserve"> presencial</w:t>
            </w:r>
            <w:r w:rsidR="00B96071">
              <w:t>.</w:t>
            </w:r>
          </w:p>
          <w:p w:rsidR="00263BA4" w:rsidRPr="008F26FE" w:rsidRDefault="00254AE4" w:rsidP="00981667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 w:rsidR="00FA0CB3">
              <w:t xml:space="preserve"> </w:t>
            </w:r>
            <w:r w:rsidR="00E3010D">
              <w:t xml:space="preserve">y/o </w:t>
            </w:r>
            <w:r>
              <w:t>clase</w:t>
            </w:r>
            <w:r w:rsidR="00FA0CB3">
              <w:t>.</w:t>
            </w:r>
          </w:p>
        </w:tc>
      </w:tr>
      <w:tr w:rsidR="00740EA4" w:rsidRPr="008F26FE" w:rsidTr="00105DE6">
        <w:trPr>
          <w:trHeight w:val="968"/>
        </w:trPr>
        <w:tc>
          <w:tcPr>
            <w:tcW w:w="2263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457" w:type="dxa"/>
            <w:vAlign w:val="center"/>
          </w:tcPr>
          <w:p w:rsidR="00651C89" w:rsidRPr="00432BAB" w:rsidRDefault="00651C89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9F7BB6">
              <w:rPr>
                <w:rFonts w:asciiTheme="minorHAnsi" w:hAnsiTheme="minorHAnsi" w:cstheme="minorHAnsi"/>
              </w:rPr>
              <w:t xml:space="preserve"> </w:t>
            </w:r>
            <w:r w:rsidR="00C13347">
              <w:rPr>
                <w:rFonts w:asciiTheme="minorHAnsi" w:hAnsiTheme="minorHAnsi" w:cstheme="minorHAnsi"/>
              </w:rPr>
              <w:t xml:space="preserve">Clara </w:t>
            </w:r>
            <w:proofErr w:type="spellStart"/>
            <w:r w:rsidR="00C13347">
              <w:rPr>
                <w:rFonts w:asciiTheme="minorHAnsi" w:hAnsiTheme="minorHAnsi" w:cstheme="minorHAnsi"/>
              </w:rPr>
              <w:t>Stegman</w:t>
            </w:r>
            <w:proofErr w:type="spellEnd"/>
          </w:p>
          <w:p w:rsidR="00651C89" w:rsidRPr="00432BAB" w:rsidRDefault="00254AE4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C1334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Christian </w:t>
            </w:r>
            <w:proofErr w:type="spellStart"/>
            <w:r w:rsidR="00C1334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Caruso</w:t>
            </w:r>
            <w:proofErr w:type="spellEnd"/>
          </w:p>
          <w:p w:rsidR="00254AE4" w:rsidRPr="008F26FE" w:rsidRDefault="00651C89" w:rsidP="008A4D61">
            <w:pPr>
              <w:spacing w:after="0" w:line="240" w:lineRule="auto"/>
            </w:pPr>
            <w:r w:rsidRPr="00432BAB">
              <w:rPr>
                <w:rFonts w:asciiTheme="minorHAnsi" w:hAnsiTheme="minorHAnsi" w:cstheme="minorHAnsi"/>
              </w:rPr>
              <w:t>Prof</w:t>
            </w:r>
            <w:r w:rsidR="00FB5544" w:rsidRPr="00432BAB">
              <w:rPr>
                <w:rFonts w:asciiTheme="minorHAnsi" w:hAnsiTheme="minorHAnsi" w:cstheme="minorHAnsi"/>
              </w:rPr>
              <w:t>.</w:t>
            </w:r>
            <w:r w:rsidR="00432BAB" w:rsidRPr="00432BAB">
              <w:rPr>
                <w:rFonts w:asciiTheme="minorHAnsi" w:hAnsiTheme="minorHAnsi" w:cstheme="minorHAnsi"/>
              </w:rPr>
              <w:t xml:space="preserve"> </w:t>
            </w:r>
            <w:r w:rsidR="00C13347">
              <w:rPr>
                <w:rFonts w:asciiTheme="minorHAnsi" w:hAnsiTheme="minorHAnsi" w:cstheme="minorHAnsi"/>
              </w:rPr>
              <w:t>Luciana Pérez</w:t>
            </w:r>
          </w:p>
        </w:tc>
      </w:tr>
      <w:tr w:rsidR="00740EA4" w:rsidRPr="008F26FE" w:rsidTr="005C6F86">
        <w:trPr>
          <w:trHeight w:val="1563"/>
        </w:trPr>
        <w:tc>
          <w:tcPr>
            <w:tcW w:w="2263" w:type="dxa"/>
            <w:vAlign w:val="center"/>
          </w:tcPr>
          <w:p w:rsidR="00740EA4" w:rsidRPr="008F26FE" w:rsidRDefault="00740EA4" w:rsidP="008F5814">
            <w:pPr>
              <w:spacing w:after="0" w:line="240" w:lineRule="auto"/>
            </w:pPr>
            <w:r w:rsidRPr="008F26FE">
              <w:t xml:space="preserve">Presentación de </w:t>
            </w:r>
            <w:r w:rsidR="008F5814">
              <w:t>la documentación</w:t>
            </w:r>
          </w:p>
        </w:tc>
        <w:tc>
          <w:tcPr>
            <w:tcW w:w="6457" w:type="dxa"/>
            <w:vAlign w:val="center"/>
          </w:tcPr>
          <w:p w:rsidR="00704E54" w:rsidRPr="009F0AF7" w:rsidRDefault="00740EA4" w:rsidP="00254AE4">
            <w:pPr>
              <w:spacing w:after="0" w:line="240" w:lineRule="auto"/>
              <w:rPr>
                <w:b/>
              </w:rPr>
            </w:pPr>
            <w:r w:rsidRPr="009F0AF7">
              <w:rPr>
                <w:b/>
              </w:rPr>
              <w:t>Fecha:</w:t>
            </w:r>
            <w:r w:rsidR="00477506" w:rsidRPr="009F0AF7">
              <w:rPr>
                <w:b/>
              </w:rPr>
              <w:t xml:space="preserve"> </w:t>
            </w:r>
            <w:r w:rsidR="004B54CF" w:rsidRPr="009F0AF7">
              <w:rPr>
                <w:rFonts w:asciiTheme="minorHAnsi" w:hAnsiTheme="minorHAnsi" w:cstheme="minorHAnsi"/>
                <w:b/>
                <w:szCs w:val="20"/>
              </w:rPr>
              <w:t xml:space="preserve">del </w:t>
            </w:r>
            <w:r w:rsidR="004B54C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4B54CF" w:rsidRPr="00335ABC">
              <w:rPr>
                <w:rFonts w:ascii="Arial" w:hAnsi="Arial" w:cs="Arial"/>
                <w:b/>
                <w:sz w:val="20"/>
                <w:szCs w:val="20"/>
              </w:rPr>
              <w:t xml:space="preserve"> de julio a 0</w:t>
            </w:r>
            <w:r w:rsidR="004B54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B54CF" w:rsidRPr="00335ABC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4B54CF" w:rsidRPr="009F0AF7">
              <w:rPr>
                <w:rFonts w:asciiTheme="minorHAnsi" w:hAnsiTheme="minorHAnsi" w:cstheme="minorHAnsi"/>
                <w:b/>
                <w:szCs w:val="20"/>
              </w:rPr>
              <w:t xml:space="preserve"> hasta las 18 </w:t>
            </w:r>
            <w:proofErr w:type="spellStart"/>
            <w:r w:rsidR="004B54CF" w:rsidRPr="009F0AF7">
              <w:rPr>
                <w:rFonts w:asciiTheme="minorHAnsi" w:hAnsiTheme="minorHAnsi" w:cstheme="minorHAnsi"/>
                <w:b/>
                <w:szCs w:val="20"/>
              </w:rPr>
              <w:t>hs</w:t>
            </w:r>
            <w:proofErr w:type="spellEnd"/>
            <w:r w:rsidR="004B54CF" w:rsidRPr="009F0AF7">
              <w:rPr>
                <w:rFonts w:asciiTheme="minorHAnsi" w:hAnsiTheme="minorHAnsi" w:cstheme="minorHAnsi"/>
                <w:b/>
                <w:szCs w:val="20"/>
              </w:rPr>
              <w:t>.</w:t>
            </w:r>
            <w:r w:rsidR="004B54CF" w:rsidRPr="009F0AF7">
              <w:rPr>
                <w:b/>
                <w:sz w:val="24"/>
              </w:rPr>
              <w:t xml:space="preserve">  </w:t>
            </w:r>
          </w:p>
          <w:p w:rsidR="001E50F9" w:rsidRPr="009F0AF7" w:rsidRDefault="00254AE4" w:rsidP="00254AE4">
            <w:pPr>
              <w:spacing w:after="0" w:line="240" w:lineRule="auto"/>
            </w:pPr>
            <w:r w:rsidRPr="009F0AF7">
              <w:t>De acuerdo a</w:t>
            </w:r>
            <w:bookmarkStart w:id="0" w:name="_GoBack"/>
            <w:bookmarkEnd w:id="0"/>
            <w:r w:rsidRPr="009F0AF7">
              <w:t xml:space="preserve">l </w:t>
            </w:r>
            <w:r w:rsidR="008F5814" w:rsidRPr="009F0AF7">
              <w:t>Reglamento</w:t>
            </w:r>
            <w:r w:rsidRPr="009F0AF7">
              <w:t>, el envío de toda la documentación en formato digital debe ser a</w:t>
            </w:r>
            <w:r w:rsidR="001E50F9" w:rsidRPr="009F0AF7">
              <w:t xml:space="preserve">l siguiente mail: </w:t>
            </w:r>
          </w:p>
          <w:p w:rsidR="008D093A" w:rsidRDefault="00D64069" w:rsidP="008D093A">
            <w:pPr>
              <w:spacing w:after="0" w:line="240" w:lineRule="auto"/>
            </w:pPr>
            <w:hyperlink r:id="rId7" w:history="1">
              <w:r w:rsidR="008D093A" w:rsidRPr="009C64C1">
                <w:rPr>
                  <w:rStyle w:val="Hipervnculo"/>
                </w:rPr>
                <w:t>mesadeentradasCSMMF@buenosaires.gob.ar</w:t>
              </w:r>
            </w:hyperlink>
            <w:r w:rsidR="008D093A">
              <w:t xml:space="preserve"> </w:t>
            </w:r>
          </w:p>
          <w:p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254AE4" w:rsidRDefault="00254AE4" w:rsidP="00B6620C">
      <w:pPr>
        <w:spacing w:after="0"/>
        <w:rPr>
          <w:u w:val="single"/>
        </w:rPr>
      </w:pPr>
    </w:p>
    <w:p w:rsidR="00B6620C" w:rsidRDefault="00B6620C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725D0F" w:rsidRDefault="00725D0F" w:rsidP="0065384B">
      <w:pPr>
        <w:spacing w:after="6" w:line="240" w:lineRule="auto"/>
        <w:jc w:val="both"/>
      </w:pPr>
    </w:p>
    <w:p w:rsidR="0065384B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1C4EB1" w:rsidRDefault="001C4EB1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335ABC" w:rsidRDefault="00335ABC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1C4EB1" w:rsidRDefault="001C4EB1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862853" w:rsidRDefault="0086285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65384B" w:rsidRPr="009F7BB6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  <w:r w:rsidRPr="009F7BB6">
        <w:rPr>
          <w:rFonts w:asciiTheme="minorHAnsi" w:hAnsiTheme="minorHAnsi" w:cstheme="minorHAnsi"/>
          <w:b/>
        </w:rPr>
        <w:lastRenderedPageBreak/>
        <w:t xml:space="preserve">(*) </w:t>
      </w:r>
      <w:r w:rsidRPr="009F7BB6">
        <w:rPr>
          <w:rFonts w:asciiTheme="minorHAnsi" w:hAnsiTheme="minorHAnsi" w:cstheme="minorHAnsi"/>
        </w:rPr>
        <w:t>Contenidos mínimos del Plan de Estudios</w:t>
      </w:r>
    </w:p>
    <w:p w:rsidR="009F7BB6" w:rsidRPr="00725D0F" w:rsidRDefault="009F7BB6" w:rsidP="009F7BB6">
      <w:pPr>
        <w:spacing w:after="0" w:line="240" w:lineRule="auto"/>
        <w:jc w:val="both"/>
        <w:rPr>
          <w:rFonts w:asciiTheme="minorHAnsi" w:hAnsiTheme="minorHAnsi" w:cstheme="minorHAnsi"/>
          <w:b/>
          <w:sz w:val="14"/>
        </w:rPr>
      </w:pP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EDUCACION SEXUAL INTEGRAL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Fundamentación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A partir de la sanción de la ley Nº 2110/06 de Educación Sexual Integral de la Ciudad Autónoma de Buenos Aires, y de la resolución Nº 45/08 del Consejo Federal de Educación, la educación sistemática sobre este tema forma parte de los lineamientos curriculares.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La presencia de la Educación Sexual Integral (ESI) en las escuelas reafirma la responsabilidad del Estado y de la escuela en la protección de los derechos de los niños, niñas y adolescentes, así como también su capacidad de generar condiciones para igualar el acceso a la información y a la formación. La sexualidad es un factor fundamental en la vida humana, pues forma parte de la identidad de las personas, presente en la naturaleza humana: comprende sentimientos, conocimientos, normas, valores, creencias, actitudes, formas de relacionarse con los otros, deseos, prácticas, reflexiones, roles, fantasías y toma de decisiones. Incluye aspectos vinculados a la salud, a lo biológico, a lo psicológico, a lo sociocultural, a lo ético, a lo jurídico y a lo religioso, en el caso de los creyentes.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El desarrollo de la sexualidad configura un sistema complejo, ya que cada uno de los aspectos mencionados se interrelacionan, y son abordados para su estudio por diversas disciplinas. La educación sexual en la escuela consiste en el conjunto de influencias que reciben los sujetos a lo largo de su biografía escolar, que inciden en la organización de la sexualidad, la construcción de la identidad, el ejercicio de los roles femenino y masculino, la manera de vincularse con los demás y la incorporación de valores, pautas y normas que funcionan como marcos referenciales sobre los múltiples comportamientos sexuales. Todo ello supone un conjunto de acciones pedagógicas que los futuros docentes deberán tener en cuenta, creando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condiciones propicias para hacer efectivos los propósitos de la educación sexual en el marco de los diversos idearios y proyectos educativos institucionales.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El enfoque de educación sexual se enmarca en:</w:t>
      </w:r>
    </w:p>
    <w:p w:rsidR="008A4D61" w:rsidRPr="008A4D61" w:rsidRDefault="008A4D61" w:rsidP="008A4D61">
      <w:pPr>
        <w:pStyle w:val="Prrafodelista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Una concepción integral de la sexualidad: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La Educación Sexual Integral incluye los múltiples aspectos ya mencionados, teniendo en cuenta las distintas etapas vitales de su desarrollo. Considera la importancia del conocimiento, el cuidado y respeto por el cuerpo, los sentimientos, las emociones, las actitudes, los valores y las habilidades psicosociales que se ponen en relación a partir del vínculo con uno mismo y con los demás. La educación sexual propone conocer, valorar, respetar y cuidar de uno mismo y de los demás; reconocer el valor de la vida; relacionarse con los otros de manera solidaria y en el marco del respeto por las diferencias; reconocer y expresar pensamientos, sentimientos y afectos; comunicarse con el otro; enfrentar y resolver los problemas y los conflictos que se plantean en la vida cotidiana; poner límites para protegerse ante situaciones de maltrato y abuso; desarrollar la autoestima en la construcción de la identidad y la autonomía en la toma de decisiones; orientar el trabajo reflexivo sobre género.</w:t>
      </w:r>
    </w:p>
    <w:p w:rsidR="008A4D61" w:rsidRPr="008A4D61" w:rsidRDefault="008A4D61" w:rsidP="008A4D61">
      <w:pPr>
        <w:pStyle w:val="Prrafodelista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El cuidado y promoción de la salud: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La Educación Sexual Integral tiene en cuenta el cuidado y promoción de la salud. Actualmente, se entiende la salud como un proceso social y cultural, complejo y dinámico, que incluye grados de bienestar físico, psíquico y social, producto de una construcción en la que intervienen factores individuales y del contexto económico, cultural, educativo y político. En este marco, se sostiene que la salud es un derecho de todos.</w:t>
      </w:r>
    </w:p>
    <w:p w:rsidR="008A4D61" w:rsidRPr="008A4D61" w:rsidRDefault="008A4D61" w:rsidP="008A4D61">
      <w:pPr>
        <w:pStyle w:val="Prrafodelista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Los Derechos Humanos: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Enmarcar la ESI en los Derechos Humanos es reconocer la importancia que estos tienen en la formación de sujetos de derecho, la construcción de la ciudadanía y la reafirmación de los valores de la democracia. Instala el compromiso y la responsabilidad del Estado de garantizar el acceso a contenidos curriculares, revalorizar el rol de los docentes en el cumplimiento de dichos derechos y acompañar el proceso de desarrollo y crecimiento de niños, adolescentes y jóvenes en su paso por la escuela.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Objetivos</w:t>
      </w:r>
    </w:p>
    <w:p w:rsidR="008A4D61" w:rsidRPr="008A4D61" w:rsidRDefault="008A4D61" w:rsidP="008A4D61">
      <w:pPr>
        <w:pStyle w:val="Prrafodelista"/>
        <w:widowControl w:val="0"/>
        <w:numPr>
          <w:ilvl w:val="0"/>
          <w:numId w:val="28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A4D61">
        <w:rPr>
          <w:rFonts w:ascii="Arial" w:eastAsia="Times New Roman" w:hAnsi="Arial" w:cs="Arial"/>
          <w:sz w:val="20"/>
          <w:szCs w:val="20"/>
        </w:rPr>
        <w:t>Conocer el marco conceptual y de la práctica educativa que permita la implementación de la Ley 2110 de Educación Sexual Integral.</w:t>
      </w:r>
    </w:p>
    <w:p w:rsidR="008A4D61" w:rsidRPr="008A4D61" w:rsidRDefault="008A4D61" w:rsidP="008A4D61">
      <w:pPr>
        <w:pStyle w:val="Prrafodelista"/>
        <w:widowControl w:val="0"/>
        <w:numPr>
          <w:ilvl w:val="0"/>
          <w:numId w:val="28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A4D61">
        <w:rPr>
          <w:rFonts w:ascii="Arial" w:eastAsia="Times New Roman" w:hAnsi="Arial" w:cs="Arial"/>
          <w:sz w:val="20"/>
          <w:szCs w:val="20"/>
        </w:rPr>
        <w:t xml:space="preserve">Comprender las diferentes etapas del desarrollo </w:t>
      </w:r>
      <w:proofErr w:type="spellStart"/>
      <w:r w:rsidRPr="008A4D61">
        <w:rPr>
          <w:rFonts w:ascii="Arial" w:eastAsia="Times New Roman" w:hAnsi="Arial" w:cs="Arial"/>
          <w:sz w:val="20"/>
          <w:szCs w:val="20"/>
        </w:rPr>
        <w:t>bio</w:t>
      </w:r>
      <w:proofErr w:type="spellEnd"/>
      <w:r w:rsidRPr="008A4D61">
        <w:rPr>
          <w:rFonts w:ascii="Arial" w:eastAsia="Times New Roman" w:hAnsi="Arial" w:cs="Arial"/>
          <w:sz w:val="20"/>
          <w:szCs w:val="20"/>
        </w:rPr>
        <w:t>-</w:t>
      </w:r>
      <w:proofErr w:type="spellStart"/>
      <w:r w:rsidRPr="008A4D61">
        <w:rPr>
          <w:rFonts w:ascii="Arial" w:eastAsia="Times New Roman" w:hAnsi="Arial" w:cs="Arial"/>
          <w:sz w:val="20"/>
          <w:szCs w:val="20"/>
        </w:rPr>
        <w:t>psico</w:t>
      </w:r>
      <w:proofErr w:type="spellEnd"/>
      <w:r w:rsidRPr="008A4D61">
        <w:rPr>
          <w:rFonts w:ascii="Arial" w:eastAsia="Times New Roman" w:hAnsi="Arial" w:cs="Arial"/>
          <w:sz w:val="20"/>
          <w:szCs w:val="20"/>
        </w:rPr>
        <w:t>-sexual.</w:t>
      </w:r>
    </w:p>
    <w:p w:rsidR="008A4D61" w:rsidRPr="008A4D61" w:rsidRDefault="008A4D61" w:rsidP="008A4D61">
      <w:pPr>
        <w:pStyle w:val="Prrafodelista"/>
        <w:widowControl w:val="0"/>
        <w:numPr>
          <w:ilvl w:val="0"/>
          <w:numId w:val="28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A4D61">
        <w:rPr>
          <w:rFonts w:ascii="Arial" w:eastAsia="Times New Roman" w:hAnsi="Arial" w:cs="Arial"/>
          <w:sz w:val="20"/>
          <w:szCs w:val="20"/>
        </w:rPr>
        <w:t>Comprender las problemática</w:t>
      </w:r>
      <w:r>
        <w:rPr>
          <w:rFonts w:ascii="Arial" w:eastAsia="Times New Roman" w:hAnsi="Arial" w:cs="Arial"/>
          <w:sz w:val="20"/>
          <w:szCs w:val="20"/>
        </w:rPr>
        <w:t>s</w:t>
      </w:r>
      <w:r w:rsidRPr="008A4D61">
        <w:rPr>
          <w:rFonts w:ascii="Arial" w:eastAsia="Times New Roman" w:hAnsi="Arial" w:cs="Arial"/>
          <w:sz w:val="20"/>
          <w:szCs w:val="20"/>
        </w:rPr>
        <w:t xml:space="preserve"> de la Educación Sexual Integral en toda su complejidad, teniendo en cuenta sus múltiples aspectos (la salud, lo biológico, lo psicológico, lo sociocultural, lo ético, lo jurídico, lo religioso -para los creyentes-) y modalidades de abordaje.</w:t>
      </w:r>
    </w:p>
    <w:p w:rsidR="008A4D61" w:rsidRPr="008A4D61" w:rsidRDefault="008A4D61" w:rsidP="008A4D61">
      <w:pPr>
        <w:pStyle w:val="Prrafodelista"/>
        <w:widowControl w:val="0"/>
        <w:numPr>
          <w:ilvl w:val="0"/>
          <w:numId w:val="28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A4D61">
        <w:rPr>
          <w:rFonts w:ascii="Arial" w:eastAsia="Times New Roman" w:hAnsi="Arial" w:cs="Arial"/>
          <w:sz w:val="20"/>
          <w:szCs w:val="20"/>
        </w:rPr>
        <w:t>Conocer la función, el rol y la incidencia de la escuela y el docente en el marco del sistema jurídico de protección integral para brindar herramientas de intervención en situaciones que vulneren los derechos de niños, niñas y adolescentes.</w:t>
      </w:r>
    </w:p>
    <w:p w:rsidR="008A4D61" w:rsidRPr="008A4D61" w:rsidRDefault="008A4D61" w:rsidP="008A4D61">
      <w:pPr>
        <w:pStyle w:val="Prrafodelista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A4D61">
        <w:rPr>
          <w:rFonts w:ascii="Arial" w:eastAsia="Times New Roman" w:hAnsi="Arial" w:cs="Arial"/>
          <w:sz w:val="20"/>
          <w:szCs w:val="20"/>
        </w:rPr>
        <w:t xml:space="preserve">Diseñar estrategias y seleccionar recursos y materiales didácticos según criterios pedagógicos atendiendo a las diferentes etapas evolutivas y acordes con el enfoque de la Educación Sexual Integral planteado en los encuadres normativos y curriculares vigentes. 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Ejes de contenido</w:t>
      </w:r>
    </w:p>
    <w:p w:rsidR="008A4D61" w:rsidRPr="008A4D61" w:rsidRDefault="008A4D61" w:rsidP="008A4D61">
      <w:pPr>
        <w:pStyle w:val="Prrafodelista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Marco de referencia y aspectos de la ESI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>Marco de referencia de la ESI:</w:t>
      </w: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Ley Nº 2110/06 (CABA) y apartado de ESI del </w:t>
      </w:r>
      <w:r w:rsidRPr="008A4D61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Diseño Curricular de la Nueva Escuela Secundaria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de la CABA. La ESI dirigida a jóvenes con discapacidad tendrá en cuenta la adecuación de los contenidos a sus características particulares.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>Aspectos de la ESI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Aspecto psicológico.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Etapas del desarrollo psicosexual. Sexo, sexualidad, genitalidad. El papel de la escuela en cada etapa del desarrollo psicosexual. Consideraciones a tener en cuenta en la educación sexual de alumnos con discapacidad.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Aspecto biológico.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La reproducción humana: los sistemas reproductivos masculino y femenino. Regulaciones hormonales masculina y femenina. Cambios puberales. Fecundación. Embarazo. Vida intrauterina. Parto. Necesidades y cuidados de la embarazada y el niño.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Aspecto sociocultural y ético.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Conceptos para comprender el complejo proceso de construcción de la sexualidad: cultura, identidad, sexo, género, identidad sexual, orientación sexual. Deconstrucción de prejuicios y estereotipos en la organización de la vida cotidiana escolar. Intervenciones pedagógicas ante situaciones de discriminación. Las normas como elementos protectores y organizadores de la vida personal y social.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Arte y género. Tradiciones que provocan desigualdad de oportunidades para varones y mujeres en la práctica artística.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Distintas configuraciones familiares. Marcos legales que regulan algunas de ellas: Código Civil, Ley de Unión Civil (CABA). Ley de Matrimonio Civil (Nación).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Medios de comunicación, arte y sexualidad. Mirada crítica respecto de los mensajes de los medios de comunicación: modelos hegemónicos de belleza, estereotipos de género, sexualidad como estrategia de consumo, lo público y lo privado. Modelos e ideales de belleza del cuerpo femenino y masculino a través del arte en distintos momentos históricos.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La construcción de lo público y lo privado como parte de la subjetividad. La utilización de lo público y lo privado en las redes sociales y su impacto en la vida cotidiana. Internet y cuidado de la intimidad.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Habilidades psicosociales:</w:t>
      </w:r>
    </w:p>
    <w:p w:rsidR="008A4D61" w:rsidRPr="008A4D61" w:rsidRDefault="008A4D61" w:rsidP="008A4D6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Cs/>
          <w:sz w:val="20"/>
          <w:szCs w:val="20"/>
          <w:lang w:val="es-ES" w:eastAsia="es-ES"/>
        </w:rPr>
        <w:t>Toma de decisiones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. Desarrollo de capacidades de elección de modo cada vez más autónomo. Aspectos que pueden obturar la autonomía en el proceso de tomar decisiones relacionadas con el cuidado y el ejercicio de la sexualidad: presión de grupo de pares y del entorno, estereotipos de género, consumo de alcohol y otras sustancias, entre otros.</w:t>
      </w:r>
    </w:p>
    <w:p w:rsidR="008A4D61" w:rsidRPr="008A4D61" w:rsidRDefault="008A4D61" w:rsidP="008A4D6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Resolución de conflictos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basada en el diálogo, el respeto, la solidaridad y la no violencia.</w:t>
      </w:r>
    </w:p>
    <w:p w:rsidR="008A4D61" w:rsidRPr="008A4D61" w:rsidRDefault="008A4D61" w:rsidP="008A4D6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Cs/>
          <w:sz w:val="20"/>
          <w:szCs w:val="20"/>
          <w:lang w:val="es-ES" w:eastAsia="es-ES"/>
        </w:rPr>
        <w:t>Comunicación y expresión de ideas, sentimientos, emociones</w:t>
      </w: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a través de los distintos lenguajes, especialmente los artísticos como medios de expresión y conocimiento.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Aspectos vinculados con la salud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Proceso salud-enfermedad, prevención y promoción de la salud. Obstaculizadores y facilitadores de prácticas de cuidado en las etapas de desarrollo </w:t>
      </w:r>
      <w:proofErr w:type="spellStart"/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pregenital</w:t>
      </w:r>
      <w:proofErr w:type="spellEnd"/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genital: Falta de prácticas de cuidado familiar y escolar/participación de la familia y de la escuela en prácticas de cuidado. Dificultad para hablar sobre sexualidad/confianza para plantear inquietudes. Refuerzo de estereotipos de género/flexibilidad en patrones de género. Presión del grupo de pares/autonomía y autoestima. Omnipotencia ante diversas situaciones/conciencia para considerar riesgos posibles. Presión del mercado y los medios de comunicación/reflexión y juicio crítico.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Infecciones de transmisión sexual, VIH Sida. Vías de transmisión. Prevención. Normativa interna del Ministerio de Educación: obligatoriedad de la confidencialidad de personas que viven con VIH. Normas de higiene general y universal de aplicación obligatoria para todo el personal de la comunidad educativa. 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Métodos anticonceptivos: Clasificación según la OMS. Funcionamiento y normas de uso. Recursos asistenciales y preventivos de la CABA. Aborto: aspectos biopsicosocial, jurídico, ético, moral y de salud pública. Distintas posiciones sobre el inicio de la vida.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Aspecto jurídico. Derechos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Marco legal de referencia de la educación sexual en los ámbitos nacional y de la CABA. Derechos sexuales y reproductivos. Marco jurídico de las políticas públicas de protección de la niñez y la adolescencia. Algunas situaciones de vulneración de derechos: Violencia de género y trata de personas, Maltrato y abuso </w:t>
      </w:r>
      <w:proofErr w:type="spellStart"/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infanto</w:t>
      </w:r>
      <w:proofErr w:type="spellEnd"/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juvenil.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El papel de la escuela en el sistema de protección integral: Responsabilidades legales de docentes y directivos ante situaciones de maltrato y abuso; Construcción de habilidades y conocimientos que promuevan la defensa y el cuidado ante situaciones de vulneración de derechos; Conocimiento de recursos disponibles en la CABA ante situaciones de vulneración de derechos.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sz w:val="20"/>
          <w:szCs w:val="20"/>
          <w:lang w:val="es-ES" w:eastAsia="es-ES"/>
        </w:rPr>
        <w:t>2.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Abordaje de la ESI 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lastRenderedPageBreak/>
        <w:t>Modalidades de abordaje y espacios de intervención de la ESI en la escuela secundaria:</w:t>
      </w:r>
      <w:r w:rsidRPr="008A4D6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En relación con los alumnos: S</w:t>
      </w:r>
      <w:r w:rsidRPr="008A4D61">
        <w:rPr>
          <w:rFonts w:ascii="Arial" w:eastAsia="TimesNewRoman" w:hAnsi="Arial" w:cs="Arial"/>
          <w:sz w:val="20"/>
          <w:szCs w:val="20"/>
          <w:lang w:val="es-ES" w:eastAsia="es-ES"/>
        </w:rPr>
        <w:t>ituaciones incidentales, cotidianas, disruptivas; Contenidos transversales en las materias/áreas de los diseños curriculares; Espacio curricular específico (Escuela Secundaria).</w:t>
      </w:r>
    </w:p>
    <w:p w:rsidR="008A4D61" w:rsidRP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A4D61">
        <w:rPr>
          <w:rFonts w:ascii="Arial" w:eastAsia="Times New Roman" w:hAnsi="Arial" w:cs="Arial"/>
          <w:sz w:val="20"/>
          <w:szCs w:val="20"/>
          <w:lang w:val="es-ES" w:eastAsia="es-ES"/>
        </w:rPr>
        <w:t>En relación con los docentes y la institución educativa. En relación con las familias. En relación con otras instituciones</w:t>
      </w:r>
    </w:p>
    <w:p w:rsidR="008A4D61" w:rsidRDefault="008A4D61" w:rsidP="008A4D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1C4EB1" w:rsidRPr="009F7BB6" w:rsidRDefault="001C4EB1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F7BB6" w:rsidRPr="009F7BB6" w:rsidRDefault="009F7BB6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9F7BB6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:rsidR="009F7BB6" w:rsidRPr="009F7BB6" w:rsidRDefault="00D64069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9F7BB6" w:rsidRPr="009F7BB6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9F7BB6" w:rsidRPr="009F7BB6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p w:rsidR="0065384B" w:rsidRPr="009F7BB6" w:rsidRDefault="0065384B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65384B" w:rsidRPr="009F7BB6" w:rsidSect="00725D0F">
      <w:headerReference w:type="default" r:id="rId9"/>
      <w:pgSz w:w="11906" w:h="16838"/>
      <w:pgMar w:top="1417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69" w:rsidRDefault="00D64069" w:rsidP="00740EA4">
      <w:pPr>
        <w:spacing w:after="0" w:line="240" w:lineRule="auto"/>
      </w:pPr>
      <w:r>
        <w:separator/>
      </w:r>
    </w:p>
  </w:endnote>
  <w:endnote w:type="continuationSeparator" w:id="0">
    <w:p w:rsidR="00D64069" w:rsidRDefault="00D64069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69" w:rsidRDefault="00D64069" w:rsidP="00740EA4">
      <w:pPr>
        <w:spacing w:after="0" w:line="240" w:lineRule="auto"/>
      </w:pPr>
      <w:r>
        <w:separator/>
      </w:r>
    </w:p>
  </w:footnote>
  <w:footnote w:type="continuationSeparator" w:id="0">
    <w:p w:rsidR="00D64069" w:rsidRDefault="00D64069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1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319"/>
    <w:multiLevelType w:val="hybridMultilevel"/>
    <w:tmpl w:val="03FE6740"/>
    <w:lvl w:ilvl="0" w:tplc="38F6C1B4">
      <w:numFmt w:val="bullet"/>
      <w:lvlText w:val=""/>
      <w:lvlJc w:val="left"/>
      <w:pPr>
        <w:ind w:left="1082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AA7"/>
    <w:multiLevelType w:val="hybridMultilevel"/>
    <w:tmpl w:val="9CA60954"/>
    <w:lvl w:ilvl="0" w:tplc="2240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903D9F"/>
    <w:multiLevelType w:val="hybridMultilevel"/>
    <w:tmpl w:val="947AAE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B45C5"/>
    <w:multiLevelType w:val="hybridMultilevel"/>
    <w:tmpl w:val="C17C630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1495B"/>
    <w:multiLevelType w:val="hybridMultilevel"/>
    <w:tmpl w:val="8FBA4A04"/>
    <w:lvl w:ilvl="0" w:tplc="D4847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8093A"/>
    <w:multiLevelType w:val="hybridMultilevel"/>
    <w:tmpl w:val="59C6927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6DAF2B50"/>
    <w:multiLevelType w:val="hybridMultilevel"/>
    <w:tmpl w:val="C696F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4759"/>
    <w:multiLevelType w:val="hybridMultilevel"/>
    <w:tmpl w:val="E4BA700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D0A5E"/>
    <w:multiLevelType w:val="hybridMultilevel"/>
    <w:tmpl w:val="38FEE366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6"/>
  </w:num>
  <w:num w:numId="5">
    <w:abstractNumId w:val="26"/>
  </w:num>
  <w:num w:numId="6">
    <w:abstractNumId w:val="4"/>
  </w:num>
  <w:num w:numId="7">
    <w:abstractNumId w:val="15"/>
  </w:num>
  <w:num w:numId="8">
    <w:abstractNumId w:val="10"/>
  </w:num>
  <w:num w:numId="9">
    <w:abstractNumId w:val="2"/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  <w:num w:numId="13">
    <w:abstractNumId w:val="7"/>
  </w:num>
  <w:num w:numId="14">
    <w:abstractNumId w:val="12"/>
  </w:num>
  <w:num w:numId="15">
    <w:abstractNumId w:val="19"/>
  </w:num>
  <w:num w:numId="16">
    <w:abstractNumId w:val="3"/>
  </w:num>
  <w:num w:numId="17">
    <w:abstractNumId w:val="21"/>
  </w:num>
  <w:num w:numId="18">
    <w:abstractNumId w:val="20"/>
  </w:num>
  <w:num w:numId="19">
    <w:abstractNumId w:val="5"/>
  </w:num>
  <w:num w:numId="20">
    <w:abstractNumId w:val="17"/>
  </w:num>
  <w:num w:numId="21">
    <w:abstractNumId w:val="24"/>
  </w:num>
  <w:num w:numId="22">
    <w:abstractNumId w:val="18"/>
  </w:num>
  <w:num w:numId="23">
    <w:abstractNumId w:val="6"/>
  </w:num>
  <w:num w:numId="24">
    <w:abstractNumId w:val="14"/>
  </w:num>
  <w:num w:numId="25">
    <w:abstractNumId w:val="23"/>
  </w:num>
  <w:num w:numId="26">
    <w:abstractNumId w:val="25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577F7"/>
    <w:rsid w:val="00066C23"/>
    <w:rsid w:val="000B41C6"/>
    <w:rsid w:val="000E0FBA"/>
    <w:rsid w:val="000E15D6"/>
    <w:rsid w:val="000F5CB7"/>
    <w:rsid w:val="000F77E8"/>
    <w:rsid w:val="00105DE6"/>
    <w:rsid w:val="00157FF9"/>
    <w:rsid w:val="001866E2"/>
    <w:rsid w:val="001A34DD"/>
    <w:rsid w:val="001C278F"/>
    <w:rsid w:val="001C4EB1"/>
    <w:rsid w:val="001E50F9"/>
    <w:rsid w:val="00245695"/>
    <w:rsid w:val="00254AE4"/>
    <w:rsid w:val="00263BA4"/>
    <w:rsid w:val="002A33A8"/>
    <w:rsid w:val="002C67D5"/>
    <w:rsid w:val="002F01A0"/>
    <w:rsid w:val="002F3108"/>
    <w:rsid w:val="00302092"/>
    <w:rsid w:val="00321037"/>
    <w:rsid w:val="00325363"/>
    <w:rsid w:val="003255D5"/>
    <w:rsid w:val="00326130"/>
    <w:rsid w:val="00335ABC"/>
    <w:rsid w:val="00355F26"/>
    <w:rsid w:val="00366865"/>
    <w:rsid w:val="00367BBD"/>
    <w:rsid w:val="00377A06"/>
    <w:rsid w:val="003A4F90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7506"/>
    <w:rsid w:val="00480E8E"/>
    <w:rsid w:val="00482D07"/>
    <w:rsid w:val="004B54CF"/>
    <w:rsid w:val="004C3748"/>
    <w:rsid w:val="004D7990"/>
    <w:rsid w:val="005177EA"/>
    <w:rsid w:val="0058046F"/>
    <w:rsid w:val="00593EE5"/>
    <w:rsid w:val="005C6F86"/>
    <w:rsid w:val="005D3CA7"/>
    <w:rsid w:val="00605C83"/>
    <w:rsid w:val="0061153F"/>
    <w:rsid w:val="00616A47"/>
    <w:rsid w:val="00621EB2"/>
    <w:rsid w:val="0063788B"/>
    <w:rsid w:val="00641B5A"/>
    <w:rsid w:val="00651C89"/>
    <w:rsid w:val="0065384B"/>
    <w:rsid w:val="00657513"/>
    <w:rsid w:val="00680B92"/>
    <w:rsid w:val="006B20DA"/>
    <w:rsid w:val="006D31C0"/>
    <w:rsid w:val="00704E54"/>
    <w:rsid w:val="00725285"/>
    <w:rsid w:val="00725D0F"/>
    <w:rsid w:val="00740EA4"/>
    <w:rsid w:val="007A27AE"/>
    <w:rsid w:val="007A425D"/>
    <w:rsid w:val="007B3FAB"/>
    <w:rsid w:val="00832957"/>
    <w:rsid w:val="00862853"/>
    <w:rsid w:val="00883231"/>
    <w:rsid w:val="00885498"/>
    <w:rsid w:val="00885592"/>
    <w:rsid w:val="00891E79"/>
    <w:rsid w:val="008A4D61"/>
    <w:rsid w:val="008D093A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4C41"/>
    <w:rsid w:val="009E0C41"/>
    <w:rsid w:val="009E7928"/>
    <w:rsid w:val="009F0AF7"/>
    <w:rsid w:val="009F4092"/>
    <w:rsid w:val="009F7BB6"/>
    <w:rsid w:val="00A01B07"/>
    <w:rsid w:val="00A17F70"/>
    <w:rsid w:val="00A369AE"/>
    <w:rsid w:val="00A52633"/>
    <w:rsid w:val="00A70BE8"/>
    <w:rsid w:val="00A817FD"/>
    <w:rsid w:val="00AA41F1"/>
    <w:rsid w:val="00AD053A"/>
    <w:rsid w:val="00AF757B"/>
    <w:rsid w:val="00AF7F28"/>
    <w:rsid w:val="00B278C1"/>
    <w:rsid w:val="00B50D7F"/>
    <w:rsid w:val="00B531EF"/>
    <w:rsid w:val="00B644AB"/>
    <w:rsid w:val="00B6620C"/>
    <w:rsid w:val="00B96071"/>
    <w:rsid w:val="00BA6509"/>
    <w:rsid w:val="00BD6C00"/>
    <w:rsid w:val="00BD7DBE"/>
    <w:rsid w:val="00BF1D5F"/>
    <w:rsid w:val="00C13347"/>
    <w:rsid w:val="00C4348B"/>
    <w:rsid w:val="00C75C88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64069"/>
    <w:rsid w:val="00D9152C"/>
    <w:rsid w:val="00D93C89"/>
    <w:rsid w:val="00DC7962"/>
    <w:rsid w:val="00DD64B7"/>
    <w:rsid w:val="00E11535"/>
    <w:rsid w:val="00E3010D"/>
    <w:rsid w:val="00E5013F"/>
    <w:rsid w:val="00E654D2"/>
    <w:rsid w:val="00E749AC"/>
    <w:rsid w:val="00E82571"/>
    <w:rsid w:val="00E8319B"/>
    <w:rsid w:val="00ED1F22"/>
    <w:rsid w:val="00F0605F"/>
    <w:rsid w:val="00F113CF"/>
    <w:rsid w:val="00F11529"/>
    <w:rsid w:val="00F36DF5"/>
    <w:rsid w:val="00FA0CB3"/>
    <w:rsid w:val="00FB5544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entradasCSMMF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Full name</cp:lastModifiedBy>
  <cp:revision>6</cp:revision>
  <dcterms:created xsi:type="dcterms:W3CDTF">2024-07-02T00:21:00Z</dcterms:created>
  <dcterms:modified xsi:type="dcterms:W3CDTF">2024-07-05T14:16:00Z</dcterms:modified>
</cp:coreProperties>
</file>