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Instrumentos de Viento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Griselda Giannini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FLAUTA TRAVERSA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Básico y Superior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Docente de Música con orientación en Flauta Traversa con habilitación para el Nivel Superior. En su defecto, Título Docente y/o Licenciatura en Música con orientación en Flauta Traversa con experiencia docente comprobable. (Títulos otorgados por Instituciones regidas por Ley 24.521)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ponderará la experiencia y antecedentes docentes, artísticos y de investigación en el nivel Superior, como también la trayectoria en el dictado de espacios afines o similares. 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(diez) antecedentes acordes al objeto de búsqueda según Grilla adjuntada.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requiere una propuesta pedagógica original desde el planteo metodológico acorde a los objetivos generales y contenidos mínimos del plan de estudios vigente </w:t>
            </w:r>
            <w:r w:rsidDel="00000000" w:rsidR="00000000" w:rsidRPr="00000000">
              <w:rPr>
                <w:b w:val="1"/>
                <w:rtl w:val="0"/>
              </w:rPr>
              <w:t xml:space="preserve">(*). </w:t>
            </w:r>
            <w:r w:rsidDel="00000000" w:rsidR="00000000" w:rsidRPr="00000000">
              <w:rPr>
                <w:rtl w:val="0"/>
              </w:rPr>
              <w:t xml:space="preserve">La propuesta pedagógica es sobre el nivel Superior con una referencia general al ciclo Básico.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 características y detalles se encuentran en los Art. 35 y 36 del Reglamento. 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coloquio puede incluir la interpretación de al menos una obra, defensa del proyecto, entrevista y/o clase. Será comunicado oportunamente por correo.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Patricia Da Dalt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Amalia Pérez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Federico Landaburu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04 al 11 de abril, hasta las 18 hs.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</w:t>
      </w:r>
    </w:p>
    <w:p w:rsidR="00000000" w:rsidDel="00000000" w:rsidP="00000000" w:rsidRDefault="00000000" w:rsidRPr="00000000" w14:paraId="0000001F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coberturas interinas quedan sujetas a la sustanciación del Concurso por Decreto 1151/GCBA/2003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Orden de Mérito alcanzado para cada incumbencia tendrá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vigencia y validez máxima de 3 (tres) años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según lo establece la DI-2018-387-DGEART en su Anexo I.</w:t>
      </w:r>
    </w:p>
    <w:p w:rsidR="00000000" w:rsidDel="00000000" w:rsidP="00000000" w:rsidRDefault="00000000" w:rsidRPr="00000000" w14:paraId="0000002C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(*) </w:t>
      </w:r>
      <w:r w:rsidDel="00000000" w:rsidR="00000000" w:rsidRPr="00000000">
        <w:rPr>
          <w:b w:val="1"/>
          <w:rtl w:val="0"/>
        </w:rPr>
        <w:t xml:space="preserve">Extracto del Plan Curricular Institucional (ciclo Superior)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FLAUTA TRAVESERA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Fundamentación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asignatura, dividida en cuatro niveles, tiene como objetivo la adquisición de saberes y el desarrollo de capacidades </w:t>
      </w:r>
      <w:r w:rsidDel="00000000" w:rsidR="00000000" w:rsidRPr="00000000">
        <w:rPr>
          <w:rtl w:val="0"/>
        </w:rPr>
        <w:t xml:space="preserve">vinculadas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las técnicas y los recursos expresivos e interpretativos propios del instrumento y al conocimiento de su repertorio, propiciando la interrelación entre la producción instrumental y los recursos tecnológicos disponibles.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tanto práctica social, la producción musical se sustenta en procedimientos compartidos y los modos de producción propios de cada estética particular o forma de construcción sonoro-musical.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dominio no refiere a un simple entrenamiento y desarrollo de habilidades </w:t>
      </w:r>
      <w:r w:rsidDel="00000000" w:rsidR="00000000" w:rsidRPr="00000000">
        <w:rPr>
          <w:rtl w:val="0"/>
        </w:rPr>
        <w:t xml:space="preserve">del ejecutante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sino que implica la acción consciente, la reflexión crítica, la construcción creativa y la toma de decisiones en pos de intencionalidades interpretativas y no reproductivas de modelos predeterminados, así como también las posibilidades del acompañamiento musical y la improvisación libre y/o pautada.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Atiende especialmente las estrategias para resolver problemáticas musicales, técnicas, interpretativas y expresivas abarcando un repertorio diverso en cuanto a autores, géneros, épocas y contextos.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Asimismo, se enfatiza el análisis sobre los procesos metodológicos de </w:t>
      </w:r>
      <w:r w:rsidDel="00000000" w:rsidR="00000000" w:rsidRPr="00000000">
        <w:rPr>
          <w:rtl w:val="0"/>
        </w:rPr>
        <w:t xml:space="preserve">transposición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didáctica propios del instrumento promoviendo en estudiantes la adquisición de niveles crecientes de autonomía en relación a la interpretación musical.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FLAUTA TRAVESERA I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Leer y comprender obras musicales en repertorios solistas, orquestales y de cámara de mediana complejidad técnica y discursiva. 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Crear y recrear obras de mediana dificultad técnica y discursiva con resolución de recursos y estrategias pertinentes y coherentes con propósitos expresivos y comunicativos.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Interpretar y recrear, en forma individual, en pequeños y grandes conjuntos, obras, discursos y expresiones musicales de repertorios provenientes de distintas estéticas y contextos musicales en grado creciente de complejidad técnica y discursiva, a partir de propósitos y criterios interpretativos propios y de época. 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∙ Resolver con criterio fundado el establecimiento del sistema referencial en la interpretación.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Ejes de contenido 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Afinación natural y temperada. Afinación relativa de la funcionalidad armónica. Desarrollo de la técnica y estudios de velocidad en la variedad del registro. Ampliación del sonido por medio de técnicas de extensión instrumental. Sistema referencial en la interpretación. Recursos y estrategias para la interpretación y recreación de obras y discursos musicales de mediana dificultad técnica, en función de criterios estilísticos y propósitos comunicativos. Estrategias y procedimientos de estudio. Características discursivas y criterios interpretativos de obras de mediana complejidad técnica, de repertorios académicos y populares, universales y con énfasis en repertorios argentinos y latinoamericanos.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FLAUTA TRAVESERA II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Leer y comprender obras musicales en repertorios solistas, orquestales, de cámara y solista con orquesta de mediana complejidad técnica y discursiva. 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Crear y recrear obras de mediana dificultad técnica y discursiva con resolución de recursos y estrategias pertinentes y coherentes con propósitos expresivos y comunicativos. 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Interpretar y recrear, en forma individual, en pequeños y grandes conjuntos, obras, discursos y expresiones musicales de repertorios provenientes de distintas estéticas y contextos musicales en grado creciente de complejidad técnica y discursiva, a partir de propósitos y criterios interpretativos propios y de época. 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Resolver con criterio fundado el establecimiento del sistema referencial en la interpretación. 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Ejes de contenido 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Igualdad y agilidad en el movimiento de los dedos. Relación con la velocidad del aire. Técnicas de extensión instrumental. Memorización y concentración en obras de forma. Resolución y aplicación en obras repertorio solista, de cámara, orquestal y solista con orquesta. Recursos técnicos y expresivos específicos para la lectura a primera vista y la improvisación. Recursos y estrategias para la interpretación y recreación de obras y discursos musicales de mediana dificultad técnica, en función de criterios estilísticos y propósitos comunicativos. Estrategias y procedimientos de estudio. Características discursivas y criterios interpretativos de obras de mediana complejidad técnica, de repertorios académicos y populares, universales y con énfasis en repertorios argentinos y latinoamericanos.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FLAUTA TRAVESERA III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Abordar obras y discursos musicales en grafías contemporáneas. 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Leer y comprender obras musicales en repertorios solistas, orquestales, de cámara y solista con orquesta de alta complejidad técnica y discursiva. 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Crear y recrear obras de alta dificultad técnica y discursiva con resolución de recursos y estrategias pertinentes y coherentes con propósitos expresivos y comunicativos. 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Interpretar y recrear, en forma individual, en pequeños y grandes conjuntos, obras, discursos y expresiones musicales de repertorios provenientes de distintas estéticas y contextos musicales en grado creciente de complejidad técnica y discursiva, a partir de propósitos y criterios interpretativos propios y de época. 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Crear y recrear obras en Flautín, de distintos repertorios, géneros, estilos y estéticas. 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Resolver con criterio fundado el establecimiento del sistema referencial en la interpretación. 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Ejes de contenido 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Profundización de técnicas de virtuosismo instrumental. Nuevas grafías y recursos sonoros. Solos orquestales. Técnica de ejecución e interpretación en el Flautín. Recursos para la lectura a primera vista y la improvisación. Recursos y estrategias para la interpretación y recreación de obras y discursos musicales de alta dificultad técnica, en función de criterios estilísticos y propósitos comunicativos. Estrategias y procedimientos de estudio. Características discursivas y criterios interpretativos de obras de alta complejidad técnica, de repertorios académicos y populares, universales y con énfasis en repertorios argentinos y latinoamericanos.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FLAUTA TRAVESERA IV 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Abordar obras y discursos musicales en grafías contemporáneas. 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Leer y comprender obras musicales en repertorios solistas, orquestales, de cámara y solista con orquesta de alta complejidad técnica y discursiva. 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Crear y recrear obras de alta dificultad técnica y discursiva con resolución de recursos y estrategias pertinentes y coherentes con propósitos expresivos y comunicativos. 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Interpretar y recrear, en forma individual, en pequeños y grandes conjuntos, obras, discursos y expresiones musicales de repertorios provenientes de distintas estéticas y contextos musicales en grado creciente de complejidad técnica y discursiva, a partir de propósitos y criterios interpretativos propios y de época. 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Interpretar repertorio orquestal propio de la Flauta Travesera aplicando recursos técnico-expresivos de la producción musical orquestal. 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Interpretar obras para Flautín y Flauta en Sol con desarrollo de estrategias y recursos técnicos acordes a finalidades expresivas y comunicativas. 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Ejes de contenido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Profundización de las técnicas de virtuosismo. Técnicas de extensión instrumental. Repertorio solista, de cámara, orquestal y solista con orquesta, tradicional y contemporáneo en Flauta, Flautín y Flauta en Sol. Recursos para la lectura a primera vista y la improvisación. Solos orquestales en Flauta, Flautín y Flauta en Sol. Recursos y estrategias para la interpretación y recreación de obras y discursos musicales de alta dificultad técnica, en función de criterios estilísticos y propósitos comunicativos. Estrategias y procedimientos de estudio. Características discursivas y criterios interpretativos de obras de alta complejidad técnica, de repertorios académicos y populares, universales y con énfasis en repertorios argentinos y latinoamericanos.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heading=h.yqz6guo6z3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sugiere consultar la estructura de los planes vigentes en la web del Conservatorio a fin de comprender el contexto de esta unidad curricular dentro de toda la carrera.</w:t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https://cmfalla-caba.infd.edu.ar/sitio/area-academica/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-86359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2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740EA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cs="Calibri"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sCSMMF@buenosaires.gob.ar" TargetMode="External"/><Relationship Id="rId8" Type="http://schemas.openxmlformats.org/officeDocument/2006/relationships/hyperlink" Target="https://cmfalla-caba.infd.edu.ar/sitio/area-academ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7+aldtxlN6Ay4BPAL3RGmvbOyQ==">CgMxLjAyDWgueXF6Nmd1bzZ6M244AHIhMTY1TlBjeU40cGd6Wkx0X1lISm5rR1dyVVVlYVJfQ1lD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2025-03-19T14:07:00Z</dcterms:created>
  <dc:creator>MARCOS</dc:creator>
</cp:coreProperties>
</file>