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36" w:rsidRDefault="00851C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873"/>
        <w:tblW w:w="8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6457"/>
      </w:tblGrid>
      <w:tr w:rsidR="00851C36">
        <w:trPr>
          <w:trHeight w:val="416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Formación General </w:t>
            </w:r>
          </w:p>
        </w:tc>
      </w:tr>
      <w:tr w:rsidR="00851C36">
        <w:trPr>
          <w:trHeight w:val="422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Coordinadora  a/c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Alejandro Bandín  </w:t>
            </w:r>
          </w:p>
        </w:tc>
      </w:tr>
      <w:tr w:rsidR="00851C36">
        <w:trPr>
          <w:trHeight w:val="430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GESTIÓN CULTURAL  </w:t>
            </w:r>
          </w:p>
        </w:tc>
      </w:tr>
      <w:tr w:rsidR="00851C36">
        <w:trPr>
          <w:trHeight w:val="420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Ciclo o Nivel 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Superior </w:t>
            </w:r>
          </w:p>
        </w:tc>
      </w:tr>
      <w:tr w:rsidR="00851C36">
        <w:trPr>
          <w:trHeight w:val="1690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  <w:jc w:val="both"/>
            </w:pPr>
            <w:r>
              <w:t>Título Docente en Sociología, Ciencias de la Comunicación o Antropología con habilitación para el Nivel Superior. Otros Títulos de Nivel Superior de igual alcance y modalidad otorgados por Instituciones de Formación Superior Universitarias y Terciarias, Na</w:t>
            </w:r>
            <w:r>
              <w:t>cionales, Provinciales o Municipales (Títulos otorgado por Instituciones regidas por Ley 24.521).</w:t>
            </w:r>
          </w:p>
          <w:p w:rsidR="00851C36" w:rsidRDefault="00C207B8">
            <w:pPr>
              <w:spacing w:after="0" w:line="240" w:lineRule="auto"/>
              <w:jc w:val="both"/>
            </w:pPr>
            <w:r>
              <w:t>En su defecto, Licenciado/</w:t>
            </w:r>
            <w:proofErr w:type="spellStart"/>
            <w:r>
              <w:t>a</w:t>
            </w:r>
            <w:proofErr w:type="spellEnd"/>
            <w:r>
              <w:t xml:space="preserve"> en Gestión Cultural, Licenciado/</w:t>
            </w:r>
            <w:proofErr w:type="spellStart"/>
            <w:r>
              <w:t>a</w:t>
            </w:r>
            <w:proofErr w:type="spellEnd"/>
            <w:r>
              <w:t xml:space="preserve"> en Sociología, Licenciado/</w:t>
            </w:r>
            <w:proofErr w:type="spellStart"/>
            <w:r>
              <w:t>a</w:t>
            </w:r>
            <w:proofErr w:type="spellEnd"/>
            <w:r>
              <w:t xml:space="preserve"> en Ciencias de la Comunicación, Licenciado/</w:t>
            </w:r>
            <w:proofErr w:type="spellStart"/>
            <w:r>
              <w:t>a</w:t>
            </w:r>
            <w:proofErr w:type="spellEnd"/>
            <w:r>
              <w:t xml:space="preserve"> en Antropología, y/o po</w:t>
            </w:r>
            <w:r>
              <w:t>sgrado de la especialidad.</w:t>
            </w:r>
          </w:p>
          <w:p w:rsidR="00851C36" w:rsidRDefault="00C207B8">
            <w:pPr>
              <w:spacing w:after="0" w:line="240" w:lineRule="auto"/>
              <w:jc w:val="both"/>
            </w:pPr>
            <w:r>
              <w:t>Experiencia y antecedentes docentes, artísticos y de investigación en el nivel superior. Poseer dominio del planteo metodológico y los procedimientos didácticos según las necesidades del nivel requerido.</w:t>
            </w:r>
          </w:p>
        </w:tc>
      </w:tr>
      <w:tr w:rsidR="00851C36">
        <w:trPr>
          <w:trHeight w:val="632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15 (quince) antecedentes acordes al objeto de búsqueda según Grilla adjuntada.</w:t>
            </w:r>
          </w:p>
        </w:tc>
      </w:tr>
      <w:tr w:rsidR="00851C36">
        <w:trPr>
          <w:trHeight w:val="1330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Propuesta Pedagógica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  <w:rPr>
                <w:b/>
              </w:rPr>
            </w:pPr>
            <w:r>
              <w:t>Se requiere una propuesta pedagógica original acorde a los objetivos generales y contenidos mínimos del plan de estudios vi</w:t>
            </w:r>
            <w:r>
              <w:t xml:space="preserve">gente </w:t>
            </w:r>
            <w:r>
              <w:rPr>
                <w:b/>
              </w:rPr>
              <w:t>(*).</w:t>
            </w:r>
          </w:p>
          <w:p w:rsidR="00851C36" w:rsidRDefault="00C207B8">
            <w:pPr>
              <w:spacing w:after="0" w:line="240" w:lineRule="auto"/>
            </w:pPr>
            <w:r>
              <w:t xml:space="preserve">Las características y detalle se encuentran en los Art. 35 y 36 del Reglamento. </w:t>
            </w:r>
          </w:p>
        </w:tc>
      </w:tr>
      <w:tr w:rsidR="00851C36">
        <w:trPr>
          <w:trHeight w:val="994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La modalidad del coloquio será presencial. </w:t>
            </w:r>
          </w:p>
          <w:p w:rsidR="00851C36" w:rsidRDefault="00C207B8">
            <w:pPr>
              <w:spacing w:after="0" w:line="240" w:lineRule="auto"/>
            </w:pPr>
            <w:r>
              <w:t>El coloquio puede incluir la defensa del proyecto, entrevista y/o clase.</w:t>
            </w:r>
          </w:p>
        </w:tc>
      </w:tr>
      <w:tr w:rsidR="00851C36">
        <w:trPr>
          <w:trHeight w:val="968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 xml:space="preserve">Prof. Soledad Venegas </w:t>
            </w:r>
            <w:r>
              <w:br/>
              <w:t>Prof. Berenice Corti</w:t>
            </w:r>
            <w:r>
              <w:br/>
              <w:t xml:space="preserve">Prof. Pablo </w:t>
            </w:r>
            <w:proofErr w:type="spellStart"/>
            <w:r>
              <w:t>Stocco</w:t>
            </w:r>
            <w:proofErr w:type="spellEnd"/>
          </w:p>
        </w:tc>
      </w:tr>
      <w:tr w:rsidR="00851C36">
        <w:trPr>
          <w:trHeight w:val="1563"/>
        </w:trPr>
        <w:tc>
          <w:tcPr>
            <w:tcW w:w="2263" w:type="dxa"/>
            <w:vAlign w:val="center"/>
          </w:tcPr>
          <w:p w:rsidR="00851C36" w:rsidRDefault="00C207B8">
            <w:pPr>
              <w:spacing w:after="0" w:line="240" w:lineRule="auto"/>
            </w:pPr>
            <w:r>
              <w:t>Presentación de la documentación</w:t>
            </w:r>
          </w:p>
        </w:tc>
        <w:tc>
          <w:tcPr>
            <w:tcW w:w="6457" w:type="dxa"/>
            <w:vAlign w:val="center"/>
          </w:tcPr>
          <w:p w:rsidR="00851C36" w:rsidRDefault="00C207B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Fecha: del 04 al 11 de abril, hasta las 18 hs</w:t>
            </w:r>
          </w:p>
          <w:p w:rsidR="00851C36" w:rsidRDefault="00C207B8">
            <w:pPr>
              <w:spacing w:after="0" w:line="240" w:lineRule="auto"/>
            </w:pPr>
            <w:r>
              <w:t xml:space="preserve">De acuerdo al Reglamento, el envío de toda la documentación en formato digital debe ser al siguiente mail:  </w:t>
            </w:r>
          </w:p>
          <w:p w:rsidR="00851C36" w:rsidRDefault="00851C36">
            <w:pPr>
              <w:spacing w:after="0" w:line="240" w:lineRule="auto"/>
            </w:pPr>
            <w:hyperlink r:id="rId8">
              <w:r w:rsidR="00C207B8">
                <w:rPr>
                  <w:color w:val="0000FF"/>
                  <w:u w:val="single"/>
                </w:rPr>
                <w:t>mesadeentradasCSMMF@buenosaires.gob.ar</w:t>
              </w:r>
            </w:hyperlink>
            <w:r w:rsidR="00C207B8">
              <w:t xml:space="preserve"> </w:t>
            </w:r>
          </w:p>
          <w:p w:rsidR="00851C36" w:rsidRDefault="00C207B8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851C36" w:rsidRDefault="00C207B8">
      <w:pPr>
        <w:jc w:val="center"/>
        <w:rPr>
          <w:u w:val="single"/>
        </w:rPr>
      </w:pPr>
      <w:r>
        <w:rPr>
          <w:u w:val="single"/>
        </w:rPr>
        <w:t>FICHA PARA CONVOCATORIAS DOCENTES</w:t>
      </w:r>
    </w:p>
    <w:p w:rsidR="00851C36" w:rsidRDefault="00851C36">
      <w:pPr>
        <w:spacing w:after="0"/>
        <w:rPr>
          <w:u w:val="single"/>
        </w:rPr>
      </w:pPr>
    </w:p>
    <w:p w:rsidR="00851C36" w:rsidRDefault="00C207B8">
      <w:r>
        <w:rPr>
          <w:u w:val="single"/>
        </w:rPr>
        <w:t>Aclaraciones</w:t>
      </w:r>
      <w:r>
        <w:t xml:space="preserve">: </w:t>
      </w:r>
    </w:p>
    <w:p w:rsidR="00851C36" w:rsidRDefault="00C20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:rsidR="00851C36" w:rsidRDefault="00C20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:rsidR="00851C36" w:rsidRDefault="00851C36">
      <w:pPr>
        <w:spacing w:after="6" w:line="240" w:lineRule="auto"/>
        <w:jc w:val="both"/>
      </w:pPr>
    </w:p>
    <w:p w:rsidR="00851C36" w:rsidRDefault="00851C36">
      <w:pPr>
        <w:spacing w:after="6" w:line="240" w:lineRule="auto"/>
        <w:jc w:val="both"/>
      </w:pPr>
    </w:p>
    <w:p w:rsidR="00851C36" w:rsidRDefault="00851C36">
      <w:pPr>
        <w:spacing w:after="6" w:line="240" w:lineRule="auto"/>
        <w:jc w:val="both"/>
      </w:pPr>
    </w:p>
    <w:p w:rsidR="00851C36" w:rsidRDefault="00C207B8">
      <w:pPr>
        <w:spacing w:after="6" w:line="240" w:lineRule="auto"/>
        <w:jc w:val="both"/>
      </w:pPr>
      <w:r>
        <w:rPr>
          <w:b/>
        </w:rPr>
        <w:t xml:space="preserve">(*) </w:t>
      </w:r>
      <w:r>
        <w:t>Contenidos mínimos del Plan de Estudios</w:t>
      </w:r>
    </w:p>
    <w:p w:rsidR="00851C36" w:rsidRDefault="00851C36">
      <w:pPr>
        <w:spacing w:after="0" w:line="240" w:lineRule="auto"/>
        <w:jc w:val="both"/>
        <w:rPr>
          <w:b/>
          <w:sz w:val="14"/>
          <w:szCs w:val="14"/>
        </w:rPr>
      </w:pPr>
    </w:p>
    <w:p w:rsidR="00851C36" w:rsidRDefault="00C207B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GESTIÓN CULTURAL</w:t>
      </w:r>
    </w:p>
    <w:p w:rsidR="00851C36" w:rsidRDefault="00C207B8">
      <w:pPr>
        <w:spacing w:after="0" w:line="240" w:lineRule="auto"/>
        <w:jc w:val="both"/>
      </w:pPr>
      <w:r>
        <w:rPr>
          <w:b/>
        </w:rPr>
        <w:t xml:space="preserve">Objetivos </w:t>
      </w:r>
      <w:r>
        <w:t xml:space="preserve"> </w:t>
      </w:r>
    </w:p>
    <w:p w:rsidR="00851C36" w:rsidRDefault="00C207B8">
      <w:pPr>
        <w:numPr>
          <w:ilvl w:val="0"/>
          <w:numId w:val="2"/>
        </w:numPr>
        <w:spacing w:after="0" w:line="240" w:lineRule="auto"/>
        <w:jc w:val="both"/>
      </w:pPr>
      <w:r>
        <w:t xml:space="preserve">Iniciar a los alumnos en el campo de la gestión cultural.  </w:t>
      </w:r>
    </w:p>
    <w:p w:rsidR="00851C36" w:rsidRDefault="00C207B8">
      <w:pPr>
        <w:numPr>
          <w:ilvl w:val="0"/>
          <w:numId w:val="2"/>
        </w:numPr>
        <w:spacing w:after="0" w:line="240" w:lineRule="auto"/>
        <w:jc w:val="both"/>
      </w:pPr>
      <w:r>
        <w:t>Conocer las bases de la gestión cultural y los negocios relacionados con el campo de la cultura y el negocio de la cult</w:t>
      </w:r>
      <w:r>
        <w:t xml:space="preserve">ura.  </w:t>
      </w:r>
    </w:p>
    <w:p w:rsidR="00851C36" w:rsidRDefault="00C207B8">
      <w:pPr>
        <w:numPr>
          <w:ilvl w:val="0"/>
          <w:numId w:val="2"/>
        </w:numPr>
        <w:spacing w:after="0" w:line="240" w:lineRule="auto"/>
        <w:jc w:val="both"/>
      </w:pPr>
      <w:r>
        <w:t xml:space="preserve">Conocer los marcos legales que protegen al autor y los entes encargados de preservarlos.  </w:t>
      </w:r>
    </w:p>
    <w:p w:rsidR="00851C36" w:rsidRDefault="00C207B8">
      <w:pPr>
        <w:numPr>
          <w:ilvl w:val="0"/>
          <w:numId w:val="2"/>
        </w:numPr>
        <w:spacing w:after="0" w:line="240" w:lineRule="auto"/>
        <w:jc w:val="both"/>
      </w:pPr>
      <w:r>
        <w:t xml:space="preserve">Comprender las restricciones para la utilización de obras de otros autores, desde los puntos de vista legal y ético.  </w:t>
      </w:r>
    </w:p>
    <w:p w:rsidR="00851C36" w:rsidRDefault="00C207B8">
      <w:pPr>
        <w:numPr>
          <w:ilvl w:val="0"/>
          <w:numId w:val="2"/>
        </w:numPr>
        <w:spacing w:after="0" w:line="240" w:lineRule="auto"/>
        <w:jc w:val="both"/>
      </w:pPr>
      <w:r>
        <w:t xml:space="preserve">Adquirir herramientas para la gestión, </w:t>
      </w:r>
      <w:r>
        <w:t>desarrollo y puesta en marcha de proyectos culturales.</w:t>
      </w:r>
    </w:p>
    <w:p w:rsidR="00851C36" w:rsidRDefault="00C207B8">
      <w:pPr>
        <w:spacing w:after="0" w:line="240" w:lineRule="auto"/>
        <w:jc w:val="both"/>
      </w:pPr>
      <w:r>
        <w:rPr>
          <w:b/>
        </w:rPr>
        <w:t>Ejes de contenido</w:t>
      </w:r>
      <w:r>
        <w:t xml:space="preserve"> </w:t>
      </w:r>
    </w:p>
    <w:p w:rsidR="00851C36" w:rsidRDefault="00C207B8">
      <w:pPr>
        <w:spacing w:after="0" w:line="240" w:lineRule="auto"/>
        <w:jc w:val="both"/>
      </w:pPr>
      <w:r>
        <w:t>Derechos de autor: ley de propiedad intelectual. Derechos de explotación y conexos. Depósito legal y Registros de Propiedad intelectual e industrial. La Ley N° 11.723 y su reglamenta</w:t>
      </w:r>
      <w:r>
        <w:t>ción. Sistemas de registro de obras: según sus características, cantidad de autores; obra individual o colección. Registro de partituras, registros sonoros y/o textos. Conceptos de plagio, cita y referencia. Categorías analíticas que permiten determinar la</w:t>
      </w:r>
      <w:r>
        <w:t xml:space="preserve"> existencia de plagio musical. </w:t>
      </w:r>
    </w:p>
    <w:p w:rsidR="00851C36" w:rsidRDefault="00C207B8">
      <w:pPr>
        <w:spacing w:after="0" w:line="240" w:lineRule="auto"/>
        <w:jc w:val="both"/>
      </w:pPr>
      <w:r>
        <w:t>La estructura de ventas de los mercados: tipología de los mercados audiovisuales y de espectáculos. Características de los mercados audiovisuales y de espectáculos. Certámenes. Ferias. Festivales. El ciclo comercial de la pr</w:t>
      </w:r>
      <w:r>
        <w:t>oducción de audiovisuales, radio y espectáculos. Las empresas de distribución y exhibición: La estructura de funcionamiento de la distribución y exhibición de programas audiovisuales: “</w:t>
      </w:r>
      <w:proofErr w:type="spellStart"/>
      <w:r>
        <w:t>broadcaster</w:t>
      </w:r>
      <w:proofErr w:type="spellEnd"/>
      <w:r>
        <w:t>”, agentes de ventas, distribuidores. Organización y Producc</w:t>
      </w:r>
      <w:r>
        <w:t xml:space="preserve">ión de Eventos. Formas de contratación laboral en el sector: Legislación y relaciones laborales. Modalidades de contratación, salarios e incentivos. Suspensión y extinción del contrato. </w:t>
      </w:r>
    </w:p>
    <w:p w:rsidR="00851C36" w:rsidRDefault="00851C36">
      <w:pPr>
        <w:spacing w:after="0" w:line="240" w:lineRule="auto"/>
        <w:jc w:val="both"/>
      </w:pPr>
    </w:p>
    <w:p w:rsidR="00851C36" w:rsidRDefault="00851C36">
      <w:pPr>
        <w:spacing w:after="0" w:line="240" w:lineRule="auto"/>
        <w:jc w:val="both"/>
      </w:pPr>
    </w:p>
    <w:p w:rsidR="00851C36" w:rsidRDefault="00851C36">
      <w:pPr>
        <w:spacing w:after="0" w:line="240" w:lineRule="auto"/>
        <w:jc w:val="both"/>
      </w:pPr>
      <w:bookmarkStart w:id="0" w:name="_heading=h.kf972asxcc8" w:colFirst="0" w:colLast="0"/>
      <w:bookmarkEnd w:id="0"/>
    </w:p>
    <w:p w:rsidR="00851C36" w:rsidRDefault="00C207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t>Se sugiere consultar la estructura de los planes vigentes en la web del Conservatorio a fin de comprender el contexto de esta unidad curricular dentro de toda la carrera.</w:t>
      </w:r>
    </w:p>
    <w:p w:rsidR="00851C36" w:rsidRDefault="00851C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hyperlink r:id="rId9">
        <w:r w:rsidR="00C207B8">
          <w:rPr>
            <w:color w:val="1155CC"/>
            <w:highlight w:val="white"/>
            <w:u w:val="single"/>
          </w:rPr>
          <w:t>https://cmfal</w:t>
        </w:r>
        <w:r w:rsidR="00C207B8">
          <w:rPr>
            <w:color w:val="1155CC"/>
            <w:highlight w:val="white"/>
            <w:u w:val="single"/>
          </w:rPr>
          <w:t>la-caba.infd.edu.ar/sitio/area-academica/</w:t>
        </w:r>
      </w:hyperlink>
      <w:r w:rsidR="00C207B8">
        <w:rPr>
          <w:color w:val="222222"/>
          <w:highlight w:val="white"/>
        </w:rPr>
        <w:t> </w:t>
      </w:r>
    </w:p>
    <w:p w:rsidR="00851C36" w:rsidRDefault="00851C36">
      <w:pPr>
        <w:spacing w:after="0" w:line="240" w:lineRule="auto"/>
        <w:jc w:val="both"/>
      </w:pPr>
    </w:p>
    <w:sectPr w:rsidR="00851C36" w:rsidSect="00851C36">
      <w:headerReference w:type="default" r:id="rId10"/>
      <w:pgSz w:w="11906" w:h="16838"/>
      <w:pgMar w:top="1417" w:right="1416" w:bottom="709" w:left="156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B8" w:rsidRDefault="00C207B8" w:rsidP="00851C36">
      <w:pPr>
        <w:spacing w:after="0" w:line="240" w:lineRule="auto"/>
      </w:pPr>
      <w:r>
        <w:separator/>
      </w:r>
    </w:p>
  </w:endnote>
  <w:endnote w:type="continuationSeparator" w:id="0">
    <w:p w:rsidR="00C207B8" w:rsidRDefault="00C207B8" w:rsidP="0085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B8" w:rsidRDefault="00C207B8" w:rsidP="00851C36">
      <w:pPr>
        <w:spacing w:after="0" w:line="240" w:lineRule="auto"/>
      </w:pPr>
      <w:r>
        <w:separator/>
      </w:r>
    </w:p>
  </w:footnote>
  <w:footnote w:type="continuationSeparator" w:id="0">
    <w:p w:rsidR="00C207B8" w:rsidRDefault="00C207B8" w:rsidP="0085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36" w:rsidRDefault="00C20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-86359</wp:posOffset>
          </wp:positionV>
          <wp:extent cx="1762125" cy="802974"/>
          <wp:effectExtent l="0" t="0" r="0" b="0"/>
          <wp:wrapSquare wrapText="bothSides" distT="0" distB="0" distL="114300" distR="114300"/>
          <wp:docPr id="2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1C36" w:rsidRDefault="00C20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ab/>
    </w:r>
  </w:p>
  <w:p w:rsidR="00851C36" w:rsidRDefault="00851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851C36" w:rsidRDefault="00851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0AD8"/>
    <w:multiLevelType w:val="multilevel"/>
    <w:tmpl w:val="0CE274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FE57544"/>
    <w:multiLevelType w:val="multilevel"/>
    <w:tmpl w:val="E6DC1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C36"/>
    <w:rsid w:val="000969A9"/>
    <w:rsid w:val="00851C36"/>
    <w:rsid w:val="00C2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0"/>
    <w:next w:val="normal0"/>
    <w:rsid w:val="00851C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51C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51C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51C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51C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51C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51C36"/>
  </w:style>
  <w:style w:type="table" w:customStyle="1" w:styleId="TableNormal">
    <w:name w:val="Table Normal"/>
    <w:rsid w:val="00851C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51C36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  <w:style w:type="paragraph" w:styleId="Subttulo">
    <w:name w:val="Subtitle"/>
    <w:basedOn w:val="Normal"/>
    <w:next w:val="Normal"/>
    <w:rsid w:val="00851C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1C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CSMMF@buenosaires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falla-caba.infd.edu.ar/sitio/area-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EvWnZYZ+fy+3CFUz0fzXQR9EWA==">CgMxLjAyDWgua2Y5NzJhc3hjYzg4AHIhMXlGcG9FSkdLRmszS2ZyUXMtVm9KZm1jbHZweW1zUnJY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dcterms:created xsi:type="dcterms:W3CDTF">2025-03-18T16:30:00Z</dcterms:created>
  <dcterms:modified xsi:type="dcterms:W3CDTF">2025-03-27T16:03:00Z</dcterms:modified>
</cp:coreProperties>
</file>