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873"/>
        <w:tblW w:w="8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6457"/>
        <w:tblGridChange w:id="0">
          <w:tblGrid>
            <w:gridCol w:w="2263"/>
            <w:gridCol w:w="6457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DEPARTAMENTO ACADÉMICO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Formación General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Coordinadora  a/c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Alejandro Bandín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Espacio 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DIDÁCTICA GENERAL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Ciclo o Nivel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Superior</w:t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Perfil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 Docente en Ciencias de la Educación con habilitación para el Nivel Superior. (Títulos otorgados por Instituciones regidas por Ley 24.521).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ponderará la experiencia y antecedentes docentes, como también la formación complementaria, experiencia y/o antigüedad en la enseñanza musical.</w:t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Cantidad máxima de antecedentes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 (quince) antecedentes acordes al objeto de búsqueda según Grilla </w:t>
            </w:r>
            <w:r w:rsidDel="00000000" w:rsidR="00000000" w:rsidRPr="00000000">
              <w:rPr>
                <w:rtl w:val="0"/>
              </w:rPr>
              <w:t xml:space="preserve">adjuntada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Propuesta Pedagógica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 requiere una propuesta pedagógica original acorde a los objetivos generales y contenidos mínimos del plan de estudios vigente </w:t>
            </w:r>
            <w:r w:rsidDel="00000000" w:rsidR="00000000" w:rsidRPr="00000000">
              <w:rPr>
                <w:b w:val="1"/>
                <w:rtl w:val="0"/>
              </w:rPr>
              <w:t xml:space="preserve">(*).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 características y detalles se encuentran en los Art. 35 y 36 del Reglamento. </w:t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Modalidad de coloquio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modalidad del coloquio será presencial.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 coloquio puede incluir la defensa del proyecto, entrevista y/o clase.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Comisión Evaluadora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Prof. Camila Kantt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Prof. Mónica Czerlowski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Prof. Yael Guardia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Presentación de la documentación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 del 25 de abril al 06 de mayo hasta las 18 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acuerdo al Reglamento, el envío de toda la documentación en formato digital debe ser al siguiente mail: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mesadeentradasCSMMF@buenosaires.gob.ar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Cada postulante recibirá el acuse de recibo de la documentación.</w:t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FICHA PARA CONVOCATORIAS DOCENTES</w:t>
      </w:r>
    </w:p>
    <w:p w:rsidR="00000000" w:rsidDel="00000000" w:rsidP="00000000" w:rsidRDefault="00000000" w:rsidRPr="00000000" w14:paraId="0000001F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u w:val="single"/>
          <w:rtl w:val="0"/>
        </w:rPr>
        <w:t xml:space="preserve">Aclaraciones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rPr/>
      </w:pPr>
      <w:r w:rsidDel="00000000" w:rsidR="00000000" w:rsidRPr="00000000">
        <w:rPr>
          <w:color w:val="000000"/>
          <w:rtl w:val="0"/>
        </w:rPr>
        <w:t xml:space="preserve">Las coberturas interinas quedan sujetas a la sustanciación del Concurso por Decreto 1151/GCBA/2003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4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El Orden de Mérito alcanzado para cada incumbencia tendrá </w:t>
      </w:r>
      <w:r w:rsidDel="00000000" w:rsidR="00000000" w:rsidRPr="00000000">
        <w:rPr>
          <w:b w:val="1"/>
          <w:color w:val="000000"/>
          <w:rtl w:val="0"/>
        </w:rPr>
        <w:t xml:space="preserve">vigencia y validez máxima de 3 (tres) años</w:t>
      </w:r>
      <w:r w:rsidDel="00000000" w:rsidR="00000000" w:rsidRPr="00000000">
        <w:rPr>
          <w:color w:val="000000"/>
          <w:rtl w:val="0"/>
        </w:rPr>
        <w:t xml:space="preserve"> según lo establece la DI-2018-387-DGEART en su Anexo 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" w:line="240" w:lineRule="auto"/>
        <w:jc w:val="both"/>
        <w:rPr/>
      </w:pPr>
      <w:bookmarkStart w:colFirst="0" w:colLast="0" w:name="_heading=h.nyqogr9f2g2u" w:id="0"/>
      <w:bookmarkEnd w:id="0"/>
      <w:r w:rsidDel="00000000" w:rsidR="00000000" w:rsidRPr="00000000">
        <w:rPr>
          <w:b w:val="1"/>
          <w:rtl w:val="0"/>
        </w:rPr>
        <w:t xml:space="preserve">(*) </w:t>
      </w:r>
      <w:r w:rsidDel="00000000" w:rsidR="00000000" w:rsidRPr="00000000">
        <w:rPr>
          <w:rtl w:val="0"/>
        </w:rPr>
        <w:t xml:space="preserve">Contenidos mínimos del Plan de Estudios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DIDÁCTICA GENERAL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Fundamentación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La Didáctica General constituye un espacio curricular fundamental que aporta marcos conceptuales, criterios generales y principios de acción para la enseñanza. Cabe señalar que en este espacio curricular se reconocen los procesos de enseñanza y de aprendizaje en función de la confluencia de factores epistemológicos, técnicos, humanos y políticos en la producción de los procesos educativos. Comprender la enseñanza supone un proceso de reflexión sobre la acción didáctica desde la dialéctica teoría-práctica. Para ello, se busca preparar a los futuros docentes para que desarrollen los saberes necesarios para promover buenos aprendizajes. Esto supone el dominio de los conocimientos sobre qué es enseñar, qué contenidos, para qué sujetos y en qué escenarios y, también, abordar las condiciones que podrían favorecer que un estudiante se apropie de un saber o conocimiento, reconociendo las dimensiones didácticas del currículum en tanto instrumento para la enseñanza, de alcance político e interpretativo de la práctica docente. Asimismo, es fundamental, para ello, el trabajo sobre el conocimiento y análisis de las diversas concepciones sobre procesos de aprendizaje y de enseñanza y sus articulaciones. Respecto de la programación de la enseñanza, se propone desarrollar la valorización de este proceso en tanto se considera a la misma como una acción intencional, comprometida con propósitos de transmisión cultural, dirigida a sujetos concretos en formación y al logro de resultados de aprendizaje. Finalmente, se propone un trabajo sobre la evaluación como parte integral del aprendizaje.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Objetivos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∙ Conocer y analizar con capacidad crítica las principales líneas del debate didáctico contemporáneo.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∙ Establecer relaciones entre las posturas didácticas y las teorías del aprendizaje.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∙ Identificar y reconocer la contextualización socio-político-cultural del aprendizaje y de la enseñanza artística.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∙ Comprender y caracterizar los articuladores didácticos que intervienen en los procesos de diseño, desarrollo, gestión, evaluación y actualización curricular.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Ejes de contenido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Introducción al campo de la Didáctica</w:t>
      </w:r>
      <w:r w:rsidDel="00000000" w:rsidR="00000000" w:rsidRPr="00000000">
        <w:rPr>
          <w:rtl w:val="0"/>
        </w:rPr>
        <w:t xml:space="preserve">. La didáctica: cuestiones epistemológicas en torno a la construcción de su campo. Didáctica general y didácticas específicas: campos y relaciones. La incorporación de las TIC.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El docente y la enseñanza</w:t>
      </w:r>
      <w:r w:rsidDel="00000000" w:rsidR="00000000" w:rsidRPr="00000000">
        <w:rPr>
          <w:rtl w:val="0"/>
        </w:rPr>
        <w:t xml:space="preserve">. La enseñanza como actividad docente: la “buena enseñanza”. Teorías y enfoques de enseñanza. La relación entre enseñanza y aprendizaje.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Currículum</w:t>
      </w:r>
      <w:r w:rsidDel="00000000" w:rsidR="00000000" w:rsidRPr="00000000">
        <w:rPr>
          <w:rtl w:val="0"/>
        </w:rPr>
        <w:t xml:space="preserve">. Concepciones, dimensiones y componentes del currículum. Relaciones entre el diseño y el desarrollo curricular. Currículum como proceso. Niveles de especificación curricular. Análisis de los diseños curriculares de la CABA (específico) y otros textos de desarrollo curricular.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Programación/planificación</w:t>
      </w:r>
      <w:r w:rsidDel="00000000" w:rsidR="00000000" w:rsidRPr="00000000">
        <w:rPr>
          <w:rtl w:val="0"/>
        </w:rPr>
        <w:t xml:space="preserve">. El proceso de programación y sus marcos de referencia. La planificación de la enseñanza. Intenciones educativas: propósitos y objetivos. Diferentes tipos de contenido: tipos, selección, secuenciación, organización. Estrategias y actividades. Recursos y materiales.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La evaluación de los aprendizajes</w:t>
      </w:r>
      <w:r w:rsidDel="00000000" w:rsidR="00000000" w:rsidRPr="00000000">
        <w:rPr>
          <w:rtl w:val="0"/>
        </w:rPr>
        <w:t xml:space="preserve">. Evaluación, diferentes paradigmas. Acreditación y evaluación: relaciones evaluaciones-enseñanza-aprendizaje. Tipos y funciones. Técnicas e instrumentos. Dimensión ético-política de la evaluación. 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Gestión y adaptación curricular</w:t>
      </w:r>
      <w:r w:rsidDel="00000000" w:rsidR="00000000" w:rsidRPr="00000000">
        <w:rPr>
          <w:rtl w:val="0"/>
        </w:rPr>
        <w:t xml:space="preserve">. El currículum abierto a la diversidad de los alumnos. Adaptaciones curriculares individualizadas: concepto y realización.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/>
      </w:pPr>
      <w:bookmarkStart w:colFirst="0" w:colLast="0" w:name="_heading=h.bv8plgaas6q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 sugiere consultar la estructura de los planes vigentes en la web del Conservatorio a fin de comprender el contexto de esta unidad curricular dentro de toda la carrera.</w:t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/>
      </w:pP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https://cmfalla-caba.infd.edu.ar/sitio/area-academica/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09" w:top="1417" w:left="1560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-190497</wp:posOffset>
          </wp:positionH>
          <wp:positionV relativeFrom="paragraph">
            <wp:posOffset>-86358</wp:posOffset>
          </wp:positionV>
          <wp:extent cx="1762125" cy="802974"/>
          <wp:effectExtent b="0" l="0" r="0" t="0"/>
          <wp:wrapSquare wrapText="bothSides" distB="0" distT="0" distL="114300" distR="114300"/>
          <wp:docPr descr="logos_falla_h.jpg" id="3" name="image1.jpg"/>
          <a:graphic>
            <a:graphicData uri="http://schemas.openxmlformats.org/drawingml/2006/picture">
              <pic:pic>
                <pic:nvPicPr>
                  <pic:cNvPr descr="logos_falla_h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125" cy="80297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ab/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1DDC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740EA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740EA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0EA4"/>
  </w:style>
  <w:style w:type="paragraph" w:styleId="Piedepgina">
    <w:name w:val="footer"/>
    <w:basedOn w:val="Normal"/>
    <w:link w:val="PiedepginaCar"/>
    <w:uiPriority w:val="99"/>
    <w:unhideWhenUsed w:val="1"/>
    <w:rsid w:val="00740EA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0EA4"/>
  </w:style>
  <w:style w:type="character" w:styleId="Hipervnculo">
    <w:name w:val="Hyperlink"/>
    <w:uiPriority w:val="99"/>
    <w:unhideWhenUsed w:val="1"/>
    <w:rsid w:val="001E50F9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D1029E"/>
    <w:pPr>
      <w:ind w:left="720"/>
      <w:contextualSpacing w:val="1"/>
    </w:pPr>
  </w:style>
  <w:style w:type="paragraph" w:styleId="Textocomentario">
    <w:name w:val="annotation text"/>
    <w:basedOn w:val="Normal"/>
    <w:link w:val="TextocomentarioCar"/>
    <w:uiPriority w:val="99"/>
    <w:unhideWhenUsed w:val="1"/>
    <w:rsid w:val="00D1029E"/>
    <w:pPr>
      <w:suppressAutoHyphens w:val="1"/>
    </w:pPr>
    <w:rPr>
      <w:rFonts w:eastAsia="SimSun"/>
      <w:kern w:val="2"/>
      <w:sz w:val="20"/>
      <w:szCs w:val="20"/>
      <w:lang w:eastAsia="ar-SA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1029E"/>
    <w:rPr>
      <w:rFonts w:cs="Calibri" w:eastAsia="SimSun"/>
      <w:kern w:val="2"/>
      <w:lang w:eastAsia="ar-SA"/>
    </w:rPr>
  </w:style>
  <w:style w:type="paragraph" w:styleId="NormalWeb">
    <w:name w:val="Normal (Web)"/>
    <w:basedOn w:val="Normal"/>
    <w:uiPriority w:val="99"/>
    <w:semiHidden w:val="1"/>
    <w:unhideWhenUsed w:val="1"/>
    <w:rsid w:val="00B644A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Refdecomentario">
    <w:name w:val="annotation reference"/>
    <w:uiPriority w:val="99"/>
    <w:semiHidden w:val="1"/>
    <w:unhideWhenUsed w:val="1"/>
    <w:rsid w:val="0099596A"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esadeentradasCSMMF@buenosaires.gob.ar" TargetMode="External"/><Relationship Id="rId8" Type="http://schemas.openxmlformats.org/officeDocument/2006/relationships/hyperlink" Target="https://cmfalla-caba.infd.edu.ar/sitio/area-academi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grH0WQIwYqEn2Xa+6a6s68AMow==">CgMxLjAyDmgubnlxb2dyOWYyZzJ1Mg5oLmJ2OHBsZ2FhczZxczgAciExZm9aYjY0WjhXVE1ubUxuenZHZThXcGVPMGhnenh3MGY=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2025-04-07T15:28:00Z</dcterms:created>
  <dc:creator>MARCOS</dc:creator>
</cp:coreProperties>
</file>