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D8" w:rsidRDefault="00804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41" w:rightFromText="141" w:vertAnchor="page" w:horzAnchor="margin" w:tblpY="287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457"/>
      </w:tblGrid>
      <w:tr w:rsidR="00804CD8">
        <w:trPr>
          <w:trHeight w:val="416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Música Contemporánea</w:t>
            </w:r>
          </w:p>
        </w:tc>
      </w:tr>
      <w:tr w:rsidR="00804CD8">
        <w:trPr>
          <w:trHeight w:val="422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Coordinadora  a/c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 xml:space="preserve">Matías </w:t>
            </w:r>
            <w:proofErr w:type="spellStart"/>
            <w:r>
              <w:t>Giuliani</w:t>
            </w:r>
            <w:proofErr w:type="spellEnd"/>
            <w:r>
              <w:t xml:space="preserve"> </w:t>
            </w:r>
          </w:p>
        </w:tc>
      </w:tr>
      <w:tr w:rsidR="00804CD8">
        <w:trPr>
          <w:trHeight w:val="430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ANÁLISIS DE LA MÚSICA CONTEMPORÁNEA </w:t>
            </w:r>
          </w:p>
        </w:tc>
      </w:tr>
      <w:tr w:rsidR="00804CD8">
        <w:trPr>
          <w:trHeight w:val="420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 xml:space="preserve">Ciclo o Nivel 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 xml:space="preserve">Superior </w:t>
            </w:r>
          </w:p>
        </w:tc>
      </w:tr>
      <w:tr w:rsidR="00804CD8">
        <w:trPr>
          <w:trHeight w:val="1690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  <w:jc w:val="both"/>
            </w:pPr>
            <w:r>
              <w:t>Título Docente de Música con habilitación para el Nivel Superior. En su defecto, Título Docente en Música con experiencia docente comprobable. (Títulos otorgados por Instituciones regidas por Ley 24.521)</w:t>
            </w:r>
          </w:p>
          <w:p w:rsidR="00804CD8" w:rsidRDefault="00C56E10">
            <w:pPr>
              <w:spacing w:after="0" w:line="240" w:lineRule="auto"/>
              <w:jc w:val="both"/>
            </w:pPr>
            <w:r>
              <w:t>Se ponderará la experiencia y antecedentes docentes,</w:t>
            </w:r>
            <w:r>
              <w:t xml:space="preserve"> artísticos y de investigación en música actual, en el nivel Superior, como también la trayectoria en el dictado de espacios afines o similares. </w:t>
            </w:r>
          </w:p>
        </w:tc>
      </w:tr>
      <w:tr w:rsidR="00804CD8">
        <w:trPr>
          <w:trHeight w:val="632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10 (diez) antecedentes acordes al objeto de búsqueda según Grilla adjuntada.</w:t>
            </w:r>
          </w:p>
        </w:tc>
      </w:tr>
      <w:tr w:rsidR="00804CD8">
        <w:trPr>
          <w:trHeight w:val="1330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Propuesta Pedagógica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  <w:rPr>
                <w:b/>
              </w:rPr>
            </w:pPr>
            <w:r>
              <w:t xml:space="preserve">Se requiere una propuesta pedagógica original acorde a los objetivos generales y contenidos mínimos de la asignatura </w:t>
            </w:r>
            <w:r>
              <w:rPr>
                <w:b/>
              </w:rPr>
              <w:t>(*).</w:t>
            </w:r>
          </w:p>
          <w:p w:rsidR="00804CD8" w:rsidRDefault="00C56E10">
            <w:pPr>
              <w:spacing w:after="0" w:line="240" w:lineRule="auto"/>
            </w:pPr>
            <w:r>
              <w:t xml:space="preserve">Las características y detalles se encuentran en los Art. 35 y 36 del Reglamento. </w:t>
            </w:r>
          </w:p>
        </w:tc>
      </w:tr>
      <w:tr w:rsidR="00804CD8">
        <w:trPr>
          <w:trHeight w:val="994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La mod</w:t>
            </w:r>
            <w:r>
              <w:t>alidad del coloquio será presencial.</w:t>
            </w:r>
          </w:p>
          <w:p w:rsidR="00804CD8" w:rsidRDefault="00C56E10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804CD8">
        <w:trPr>
          <w:trHeight w:val="968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 xml:space="preserve">Prof. Lucas </w:t>
            </w:r>
            <w:proofErr w:type="spellStart"/>
            <w:r>
              <w:t>Urdampilleta</w:t>
            </w:r>
            <w:proofErr w:type="spellEnd"/>
          </w:p>
          <w:p w:rsidR="00804CD8" w:rsidRDefault="00C56E10">
            <w:pPr>
              <w:spacing w:after="0" w:line="240" w:lineRule="auto"/>
            </w:pPr>
            <w:r>
              <w:t xml:space="preserve">Prof. </w:t>
            </w:r>
            <w:proofErr w:type="spellStart"/>
            <w:r>
              <w:t>Annunziata</w:t>
            </w:r>
            <w:proofErr w:type="spellEnd"/>
            <w:r>
              <w:t xml:space="preserve"> </w:t>
            </w:r>
            <w:proofErr w:type="spellStart"/>
            <w:r>
              <w:t>Tomaro</w:t>
            </w:r>
            <w:bookmarkStart w:id="0" w:name="_GoBack"/>
            <w:bookmarkEnd w:id="0"/>
            <w:proofErr w:type="spellEnd"/>
          </w:p>
          <w:p w:rsidR="00804CD8" w:rsidRDefault="00C56E10">
            <w:pPr>
              <w:spacing w:after="0" w:line="240" w:lineRule="auto"/>
            </w:pPr>
            <w:r>
              <w:t xml:space="preserve">Prof. Lautaro </w:t>
            </w:r>
            <w:proofErr w:type="spellStart"/>
            <w:r>
              <w:t>Vieyra</w:t>
            </w:r>
            <w:proofErr w:type="spellEnd"/>
            <w:r>
              <w:t xml:space="preserve">  </w:t>
            </w:r>
          </w:p>
        </w:tc>
      </w:tr>
      <w:tr w:rsidR="00804CD8">
        <w:trPr>
          <w:trHeight w:val="1563"/>
        </w:trPr>
        <w:tc>
          <w:tcPr>
            <w:tcW w:w="2263" w:type="dxa"/>
            <w:vAlign w:val="center"/>
          </w:tcPr>
          <w:p w:rsidR="00804CD8" w:rsidRDefault="00C56E10">
            <w:pPr>
              <w:spacing w:after="0" w:line="240" w:lineRule="auto"/>
            </w:pPr>
            <w:r>
              <w:t>Presentación de la documentación</w:t>
            </w:r>
          </w:p>
        </w:tc>
        <w:tc>
          <w:tcPr>
            <w:tcW w:w="6457" w:type="dxa"/>
            <w:vAlign w:val="center"/>
          </w:tcPr>
          <w:p w:rsidR="00804CD8" w:rsidRDefault="00C56E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Fecha: del </w:t>
            </w:r>
            <w:r w:rsidR="00307191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al </w:t>
            </w:r>
            <w:r w:rsidR="00307191">
              <w:rPr>
                <w:b/>
              </w:rPr>
              <w:t>18</w:t>
            </w:r>
            <w:r>
              <w:rPr>
                <w:b/>
              </w:rPr>
              <w:t xml:space="preserve"> de junio hasta las 18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804CD8" w:rsidRDefault="00C56E10">
            <w:pPr>
              <w:spacing w:after="0" w:line="240" w:lineRule="auto"/>
            </w:pPr>
            <w:r>
              <w:t xml:space="preserve">De acuerdo al Reglamento, el envío de toda la documentación en formato digital debe ser al siguiente mail: </w:t>
            </w:r>
          </w:p>
          <w:p w:rsidR="00804CD8" w:rsidRDefault="00C56E10">
            <w:pPr>
              <w:spacing w:after="0" w:line="240" w:lineRule="auto"/>
            </w:pPr>
            <w:hyperlink r:id="rId8">
              <w:r>
                <w:rPr>
                  <w:color w:val="0000FF"/>
                  <w:u w:val="single"/>
                </w:rPr>
                <w:t>mesadeentradasCSMMF@buenosai</w:t>
              </w:r>
              <w:r>
                <w:rPr>
                  <w:color w:val="0000FF"/>
                  <w:u w:val="single"/>
                </w:rPr>
                <w:t>res.gob.ar</w:t>
              </w:r>
            </w:hyperlink>
            <w:r>
              <w:t xml:space="preserve">  </w:t>
            </w:r>
          </w:p>
          <w:p w:rsidR="00804CD8" w:rsidRDefault="00C56E10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804CD8" w:rsidRDefault="00C56E10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804CD8" w:rsidRDefault="00804CD8">
      <w:pPr>
        <w:jc w:val="center"/>
        <w:rPr>
          <w:u w:val="single"/>
        </w:rPr>
      </w:pPr>
    </w:p>
    <w:p w:rsidR="00804CD8" w:rsidRDefault="00804CD8">
      <w:pPr>
        <w:rPr>
          <w:u w:val="single"/>
        </w:rPr>
      </w:pPr>
    </w:p>
    <w:p w:rsidR="00804CD8" w:rsidRDefault="00C56E10">
      <w:r>
        <w:rPr>
          <w:u w:val="single"/>
        </w:rPr>
        <w:t>Aclaraciones</w:t>
      </w:r>
      <w:r>
        <w:t xml:space="preserve">: </w:t>
      </w:r>
    </w:p>
    <w:p w:rsidR="00804CD8" w:rsidRDefault="00C56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 xml:space="preserve">Las coberturas interinas quedan sujetas a la sustanciación del Concurso por Decreto 1151/GCBA/2003  </w:t>
      </w:r>
    </w:p>
    <w:p w:rsidR="00804CD8" w:rsidRDefault="00C56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:rsidR="00804CD8" w:rsidRDefault="00804CD8">
      <w:pPr>
        <w:spacing w:after="6" w:line="240" w:lineRule="auto"/>
        <w:jc w:val="both"/>
      </w:pPr>
    </w:p>
    <w:p w:rsidR="00804CD8" w:rsidRDefault="00804CD8">
      <w:pPr>
        <w:spacing w:after="6" w:line="240" w:lineRule="auto"/>
        <w:jc w:val="both"/>
      </w:pPr>
    </w:p>
    <w:p w:rsidR="00804CD8" w:rsidRDefault="00804CD8">
      <w:pPr>
        <w:spacing w:after="6" w:line="240" w:lineRule="auto"/>
        <w:jc w:val="both"/>
      </w:pPr>
    </w:p>
    <w:p w:rsidR="00804CD8" w:rsidRDefault="00804CD8">
      <w:pPr>
        <w:spacing w:after="6" w:line="240" w:lineRule="auto"/>
        <w:jc w:val="both"/>
      </w:pPr>
    </w:p>
    <w:p w:rsidR="00804CD8" w:rsidRDefault="00804CD8">
      <w:pPr>
        <w:spacing w:after="6" w:line="240" w:lineRule="auto"/>
        <w:jc w:val="both"/>
      </w:pPr>
    </w:p>
    <w:p w:rsidR="00804CD8" w:rsidRDefault="00804CD8">
      <w:pPr>
        <w:spacing w:after="6" w:line="240" w:lineRule="auto"/>
        <w:jc w:val="both"/>
      </w:pPr>
    </w:p>
    <w:p w:rsidR="00804CD8" w:rsidRDefault="00C56E10">
      <w:pPr>
        <w:spacing w:after="6" w:line="240" w:lineRule="auto"/>
        <w:jc w:val="both"/>
      </w:pPr>
      <w:r>
        <w:rPr>
          <w:b/>
        </w:rPr>
        <w:t xml:space="preserve">(*) </w:t>
      </w:r>
      <w:r>
        <w:t>Contenidos mínimos</w:t>
      </w:r>
    </w:p>
    <w:p w:rsidR="00804CD8" w:rsidRDefault="00804CD8">
      <w:pPr>
        <w:spacing w:after="0" w:line="240" w:lineRule="auto"/>
        <w:jc w:val="both"/>
        <w:rPr>
          <w:b/>
          <w:sz w:val="14"/>
          <w:szCs w:val="14"/>
        </w:rPr>
      </w:pPr>
    </w:p>
    <w:p w:rsidR="00804CD8" w:rsidRDefault="00C56E1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ANÁLISIS DE LA MÚSICA CONTEMPORÁNEA</w:t>
      </w:r>
    </w:p>
    <w:p w:rsidR="00804CD8" w:rsidRDefault="00804CD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04CD8" w:rsidRDefault="00C56E10">
      <w:pPr>
        <w:spacing w:after="0" w:line="240" w:lineRule="auto"/>
        <w:jc w:val="both"/>
      </w:pPr>
      <w:r>
        <w:t xml:space="preserve">Técnicas avanzadas de análisis de partituras contemporáneas. Estudio de obras icónicas de compositores contemporáneos. Teoría de conjuntos, </w:t>
      </w:r>
      <w:proofErr w:type="spellStart"/>
      <w:r>
        <w:t>espectralismo</w:t>
      </w:r>
      <w:proofErr w:type="spellEnd"/>
      <w:r>
        <w:t xml:space="preserve"> y teoría del caos aplicada al análisis de partituras. Contextualización cultural-histórica de los esti</w:t>
      </w:r>
      <w:r>
        <w:t>los estudiados. Historia y evolución de la notación musical contemporánea. Desarrollo de habilidades de comunicación académica.</w:t>
      </w:r>
    </w:p>
    <w:p w:rsidR="00804CD8" w:rsidRDefault="00804CD8">
      <w:pPr>
        <w:spacing w:after="0" w:line="240" w:lineRule="auto"/>
        <w:jc w:val="both"/>
      </w:pPr>
    </w:p>
    <w:p w:rsidR="00804CD8" w:rsidRDefault="00C56E10">
      <w:pPr>
        <w:spacing w:after="0" w:line="240" w:lineRule="auto"/>
        <w:jc w:val="both"/>
      </w:pPr>
      <w:r>
        <w:t>Recursos para la comprensión de la relación entre estilos contemporáneos y la evolución de los medios tecnológicos. Manejo de h</w:t>
      </w:r>
      <w:r>
        <w:t>erramientas digitales para la producción, el análisis y la crítica de la música actual. Enfoques de improvisación y creación en la música contemporánea. Escucha activa y participativa en la música contemporánea. Relación entre la interpretación y la percep</w:t>
      </w:r>
      <w:r>
        <w:t>ción del oyente en la música basada en el sonido.</w:t>
      </w:r>
    </w:p>
    <w:p w:rsidR="00804CD8" w:rsidRDefault="00804CD8">
      <w:pPr>
        <w:spacing w:after="0" w:line="240" w:lineRule="auto"/>
        <w:jc w:val="both"/>
      </w:pPr>
    </w:p>
    <w:p w:rsidR="00804CD8" w:rsidRDefault="00C56E10">
      <w:pPr>
        <w:spacing w:after="0" w:line="240" w:lineRule="auto"/>
        <w:jc w:val="both"/>
      </w:pPr>
      <w:r>
        <w:t xml:space="preserve">Análisis de producción de músicos y compositores que incorporan elementos </w:t>
      </w:r>
      <w:proofErr w:type="spellStart"/>
      <w:r>
        <w:t>performáticos</w:t>
      </w:r>
      <w:proofErr w:type="spellEnd"/>
      <w:r>
        <w:t xml:space="preserve"> en sus obras. Composición espacial y uso del espacio en la música contemporánea. Prácticas de creación colectiva en l</w:t>
      </w:r>
      <w:r>
        <w:t>a música contemporánea.</w:t>
      </w:r>
    </w:p>
    <w:p w:rsidR="00804CD8" w:rsidRDefault="00804CD8">
      <w:pPr>
        <w:spacing w:after="0" w:line="240" w:lineRule="auto"/>
        <w:jc w:val="both"/>
      </w:pPr>
    </w:p>
    <w:sectPr w:rsidR="00804CD8">
      <w:headerReference w:type="default" r:id="rId9"/>
      <w:pgSz w:w="11906" w:h="16838"/>
      <w:pgMar w:top="1417" w:right="1416" w:bottom="709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10" w:rsidRDefault="00C56E10">
      <w:pPr>
        <w:spacing w:after="0" w:line="240" w:lineRule="auto"/>
      </w:pPr>
      <w:r>
        <w:separator/>
      </w:r>
    </w:p>
  </w:endnote>
  <w:endnote w:type="continuationSeparator" w:id="0">
    <w:p w:rsidR="00C56E10" w:rsidRDefault="00C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10" w:rsidRDefault="00C56E10">
      <w:pPr>
        <w:spacing w:after="0" w:line="240" w:lineRule="auto"/>
      </w:pPr>
      <w:r>
        <w:separator/>
      </w:r>
    </w:p>
  </w:footnote>
  <w:footnote w:type="continuationSeparator" w:id="0">
    <w:p w:rsidR="00C56E10" w:rsidRDefault="00C5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D8" w:rsidRDefault="00C56E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l="0" t="0" r="0" b="0"/>
          <wp:wrapSquare wrapText="bothSides" distT="0" distB="0" distL="114300" distR="114300"/>
          <wp:docPr id="3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4CD8" w:rsidRDefault="00C56E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:rsidR="00804CD8" w:rsidRDefault="00804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804CD8" w:rsidRDefault="00804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4EA9"/>
    <w:multiLevelType w:val="multilevel"/>
    <w:tmpl w:val="F3B871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8"/>
    <w:rsid w:val="00307191"/>
    <w:rsid w:val="00804CD8"/>
    <w:rsid w:val="00C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C81A"/>
  <w15:docId w15:val="{CA93F8D2-588D-425C-B068-556D452A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1"/>
    <w:next w:val="Normal1"/>
    <w:rsid w:val="000114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114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114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114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114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114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1141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1141F"/>
  </w:style>
  <w:style w:type="table" w:customStyle="1" w:styleId="TableNormal0">
    <w:name w:val="Table Normal"/>
    <w:rsid w:val="0001141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14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fDTzr3aNqYK46OwtyUbZFKcaw==">CgMxLjA4AHIhMUNaa2FjSU4wYVJCQkgtV0lHakpoT2lEQmRoRVgxS1N6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2486</Characters>
  <Application>Microsoft Office Word</Application>
  <DocSecurity>0</DocSecurity>
  <Lines>20</Lines>
  <Paragraphs>5</Paragraphs>
  <ScaleCrop>false</ScaleCrop>
  <Company>EXO S.A.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secre</cp:lastModifiedBy>
  <cp:revision>2</cp:revision>
  <dcterms:created xsi:type="dcterms:W3CDTF">2024-04-26T13:00:00Z</dcterms:created>
  <dcterms:modified xsi:type="dcterms:W3CDTF">2025-05-28T17:54:00Z</dcterms:modified>
</cp:coreProperties>
</file>